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37" w:rsidRPr="00BB39CD" w:rsidRDefault="00AB1A37" w:rsidP="00877241">
      <w:pPr>
        <w:spacing w:line="25" w:lineRule="atLeast"/>
        <w:ind w:left="-284" w:firstLine="426"/>
        <w:jc w:val="center"/>
        <w:rPr>
          <w:b/>
          <w:sz w:val="28"/>
          <w:szCs w:val="28"/>
        </w:rPr>
      </w:pPr>
      <w:r w:rsidRPr="00BB39CD">
        <w:rPr>
          <w:b/>
          <w:sz w:val="28"/>
          <w:szCs w:val="28"/>
        </w:rPr>
        <w:t xml:space="preserve">Пояснительная записка </w:t>
      </w:r>
    </w:p>
    <w:p w:rsidR="00AB1A37" w:rsidRPr="00BB39CD" w:rsidRDefault="00AB1A37" w:rsidP="00877241">
      <w:pPr>
        <w:spacing w:line="25" w:lineRule="atLeast"/>
        <w:ind w:left="-284" w:firstLine="426"/>
        <w:jc w:val="center"/>
        <w:rPr>
          <w:b/>
          <w:sz w:val="28"/>
          <w:szCs w:val="28"/>
        </w:rPr>
      </w:pPr>
      <w:r w:rsidRPr="00BB39CD">
        <w:rPr>
          <w:b/>
          <w:sz w:val="28"/>
          <w:szCs w:val="28"/>
        </w:rPr>
        <w:t xml:space="preserve"> к прогнозу  социально-экономического   Благовещенского района</w:t>
      </w:r>
    </w:p>
    <w:p w:rsidR="00AB1A37" w:rsidRPr="00BB39CD" w:rsidRDefault="00AB1A37" w:rsidP="00877241">
      <w:pPr>
        <w:spacing w:line="25" w:lineRule="atLeast"/>
        <w:ind w:left="-284" w:firstLine="426"/>
        <w:jc w:val="center"/>
        <w:rPr>
          <w:b/>
          <w:sz w:val="28"/>
          <w:szCs w:val="28"/>
        </w:rPr>
      </w:pPr>
      <w:r w:rsidRPr="00BB39CD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23-</w:t>
      </w:r>
      <w:r w:rsidRPr="00BB39C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5</w:t>
      </w:r>
      <w:r w:rsidRPr="00BB39CD">
        <w:rPr>
          <w:b/>
          <w:sz w:val="28"/>
          <w:szCs w:val="28"/>
        </w:rPr>
        <w:t xml:space="preserve"> годы.</w:t>
      </w:r>
    </w:p>
    <w:p w:rsidR="00AB1A37" w:rsidRPr="00BB39CD" w:rsidRDefault="00AB1A37" w:rsidP="00877241">
      <w:pPr>
        <w:spacing w:line="25" w:lineRule="atLeast"/>
        <w:ind w:left="-284" w:firstLine="426"/>
        <w:jc w:val="both"/>
        <w:rPr>
          <w:b/>
          <w:sz w:val="28"/>
          <w:szCs w:val="28"/>
        </w:rPr>
      </w:pPr>
    </w:p>
    <w:p w:rsidR="00AB1A37" w:rsidRPr="00CC48A8" w:rsidRDefault="00AB1A37" w:rsidP="00877241">
      <w:pPr>
        <w:spacing w:line="25" w:lineRule="atLeast"/>
        <w:ind w:left="-284" w:firstLine="426"/>
        <w:jc w:val="center"/>
        <w:rPr>
          <w:b/>
          <w:sz w:val="28"/>
          <w:szCs w:val="28"/>
        </w:rPr>
      </w:pPr>
      <w:r w:rsidRPr="00CC48A8">
        <w:rPr>
          <w:b/>
          <w:sz w:val="28"/>
          <w:szCs w:val="28"/>
        </w:rPr>
        <w:t>Общая  оценка  социально-экономической ситуации в районе за отчетный период</w:t>
      </w:r>
    </w:p>
    <w:p w:rsidR="00AB1A37" w:rsidRPr="003E05D3" w:rsidRDefault="00AB1A37" w:rsidP="00877241">
      <w:pPr>
        <w:pStyle w:val="1"/>
        <w:spacing w:line="25" w:lineRule="atLeast"/>
        <w:ind w:left="-284" w:firstLine="426"/>
        <w:jc w:val="both"/>
        <w:rPr>
          <w:b w:val="0"/>
          <w:sz w:val="24"/>
          <w:szCs w:val="24"/>
        </w:rPr>
      </w:pPr>
      <w:r w:rsidRPr="003E05D3">
        <w:rPr>
          <w:b w:val="0"/>
          <w:sz w:val="24"/>
          <w:szCs w:val="24"/>
        </w:rPr>
        <w:t>Основными направлениями хозяйственной деятельности района являются: промышленное производство, сельское хозяйство, торговля, сфера бытовых услуг.</w:t>
      </w:r>
    </w:p>
    <w:p w:rsidR="00AB1A37" w:rsidRPr="003E05D3" w:rsidRDefault="00AB1A37" w:rsidP="00877241">
      <w:pPr>
        <w:pStyle w:val="1"/>
        <w:spacing w:line="25" w:lineRule="atLeast"/>
        <w:ind w:left="-284" w:firstLine="426"/>
        <w:jc w:val="both"/>
        <w:rPr>
          <w:b w:val="0"/>
          <w:color w:val="FF0000"/>
          <w:sz w:val="24"/>
          <w:szCs w:val="24"/>
        </w:rPr>
      </w:pPr>
      <w:r w:rsidRPr="003E05D3">
        <w:rPr>
          <w:b w:val="0"/>
          <w:sz w:val="24"/>
          <w:szCs w:val="24"/>
        </w:rPr>
        <w:t xml:space="preserve">Основная доля промышленного производства приходится  на предприятия переработки, это ОАО «Кучуксульфат» и предприятия занимающиеся производством пищевых продуктов. </w:t>
      </w:r>
      <w:r w:rsidRPr="003E05D3">
        <w:rPr>
          <w:b w:val="0"/>
          <w:color w:val="000000" w:themeColor="text1"/>
          <w:sz w:val="24"/>
          <w:szCs w:val="24"/>
        </w:rPr>
        <w:t xml:space="preserve">Положительная динамика развития предприятий ведет к улучшению финансово–экономических и производственных показателей и, соответственно, к увеличению поступлений в бюджеты различных уровней. </w:t>
      </w:r>
    </w:p>
    <w:p w:rsidR="00AB1A37" w:rsidRPr="003E05D3" w:rsidRDefault="00AB1A37" w:rsidP="00877241">
      <w:pPr>
        <w:shd w:val="clear" w:color="auto" w:fill="FFFFFF"/>
        <w:spacing w:line="25" w:lineRule="atLeast"/>
        <w:ind w:left="-284" w:firstLine="426"/>
        <w:jc w:val="both"/>
        <w:rPr>
          <w:color w:val="000000" w:themeColor="text1"/>
        </w:rPr>
      </w:pPr>
      <w:r w:rsidRPr="003E05D3">
        <w:t>В сельском хозяйстве</w:t>
      </w:r>
      <w:r w:rsidRPr="003E05D3">
        <w:rPr>
          <w:i/>
        </w:rPr>
        <w:t xml:space="preserve"> </w:t>
      </w:r>
      <w:r w:rsidRPr="003E05D3">
        <w:t>развито производство зерна, подсолнечника, мяса, молока, производство кормов.</w:t>
      </w:r>
      <w:r w:rsidRPr="003E05D3">
        <w:rPr>
          <w:snapToGrid w:val="0"/>
        </w:rPr>
        <w:t xml:space="preserve"> Земельный фонд </w:t>
      </w:r>
      <w:r w:rsidRPr="003E05D3">
        <w:t>Благовещенского</w:t>
      </w:r>
      <w:r w:rsidRPr="003E05D3">
        <w:rPr>
          <w:snapToGrid w:val="0"/>
        </w:rPr>
        <w:t xml:space="preserve"> района составляет </w:t>
      </w:r>
      <w:smartTag w:uri="urn:schemas-microsoft-com:office:smarttags" w:element="metricconverter">
        <w:smartTagPr>
          <w:attr w:name="ProductID" w:val="369426 га"/>
        </w:smartTagPr>
        <w:r w:rsidRPr="003E05D3">
          <w:rPr>
            <w:snapToGrid w:val="0"/>
          </w:rPr>
          <w:t>369426 га</w:t>
        </w:r>
      </w:smartTag>
      <w:r w:rsidRPr="003E05D3">
        <w:rPr>
          <w:snapToGrid w:val="0"/>
        </w:rPr>
        <w:t>. Площадь земель сельскохозяйственного назначения составляет 68,6</w:t>
      </w:r>
      <w:r w:rsidRPr="003E05D3">
        <w:rPr>
          <w:rFonts w:ascii="Calibri" w:hAnsi="Calibri"/>
          <w:snapToGrid w:val="0"/>
        </w:rPr>
        <w:t>%.</w:t>
      </w:r>
      <w:r w:rsidRPr="003E05D3">
        <w:t xml:space="preserve"> Район относится к зоне рискованного земледелия. </w:t>
      </w:r>
      <w:r w:rsidRPr="003E05D3">
        <w:rPr>
          <w:color w:val="000000" w:themeColor="text1"/>
        </w:rPr>
        <w:t xml:space="preserve">В состав предприятий сельского хозяйства района входят 6 коллективных предприятий, 24 крестьянско-фермерских хозяйств. </w:t>
      </w:r>
      <w:r w:rsidRPr="003E05D3">
        <w:t xml:space="preserve">В структуре валовой продукции сельского хозяйства за 2021 год на долю животноводства приходится </w:t>
      </w:r>
      <w:r w:rsidRPr="003E05D3">
        <w:rPr>
          <w:color w:val="000000" w:themeColor="text1"/>
        </w:rPr>
        <w:t xml:space="preserve">25,6%, на долю растениеводства 74,2%. </w:t>
      </w:r>
    </w:p>
    <w:p w:rsidR="00AB1A37" w:rsidRPr="003E05D3" w:rsidRDefault="00AB1A37" w:rsidP="00877241">
      <w:pPr>
        <w:shd w:val="clear" w:color="auto" w:fill="FFFFFF"/>
        <w:spacing w:line="25" w:lineRule="atLeast"/>
        <w:ind w:left="-284" w:firstLine="426"/>
        <w:jc w:val="both"/>
      </w:pPr>
      <w:r w:rsidRPr="003E05D3">
        <w:rPr>
          <w:color w:val="FF0000"/>
        </w:rPr>
        <w:t xml:space="preserve"> </w:t>
      </w:r>
      <w:r w:rsidRPr="003E05D3">
        <w:t>В социальную сферу района входят: 4 дошкольных образовательных учреждения, 14 средних образовательных учреждений, 2 основных образовательных учреждения, специальная (коррекционная) школа, Детско-юношеский центр, две районные больницы,  2 амбулатории, 19 ФАП, учреждения культурно - досугового типа-1 организации с 42 филиалами, детская школа искусств, детская спортивная школа.  Два средне - специальных учебных заведения и  учебное заведение начального профессионального образования.</w:t>
      </w:r>
    </w:p>
    <w:p w:rsidR="00AB1A37" w:rsidRPr="003E05D3" w:rsidRDefault="00AB1A37" w:rsidP="00877241">
      <w:pPr>
        <w:shd w:val="clear" w:color="auto" w:fill="FFFFFF"/>
        <w:spacing w:line="25" w:lineRule="atLeast"/>
        <w:ind w:left="-284" w:firstLine="426"/>
        <w:jc w:val="both"/>
      </w:pPr>
      <w:r w:rsidRPr="003E05D3">
        <w:t>Имеется  5 гостиниц,  количество круглогодичных номеров  85 и  1 рекреационно-туристический комплекс на 84 сезонных мест.</w:t>
      </w:r>
    </w:p>
    <w:p w:rsidR="00AB1A37" w:rsidRPr="003E05D3" w:rsidRDefault="00AB1A37" w:rsidP="00877241">
      <w:pPr>
        <w:spacing w:line="25" w:lineRule="atLeast"/>
        <w:ind w:left="-284" w:firstLine="426"/>
        <w:jc w:val="center"/>
        <w:rPr>
          <w:b/>
          <w:sz w:val="28"/>
          <w:szCs w:val="28"/>
        </w:rPr>
      </w:pPr>
      <w:r w:rsidRPr="003E05D3">
        <w:rPr>
          <w:b/>
          <w:sz w:val="28"/>
          <w:szCs w:val="28"/>
        </w:rPr>
        <w:t>2. Демография</w:t>
      </w:r>
    </w:p>
    <w:p w:rsidR="00AB1A37" w:rsidRPr="003E05D3" w:rsidRDefault="00AB1A37" w:rsidP="00877241">
      <w:pPr>
        <w:spacing w:line="25" w:lineRule="atLeast"/>
        <w:ind w:left="-284" w:firstLine="426"/>
        <w:jc w:val="both"/>
      </w:pPr>
      <w:r w:rsidRPr="003E05D3">
        <w:t>Демографическая ситуация на территории района остается напряженной. В 2021 году рождаемость составила 235 человек, по сравнению с 2020 годом, увеличение составило 14 человек. Умерло 611 человек, больше  уровня прошлого года на 111 человек. Общий коэффициент смертности  в 2021 году составил 22,5 промилле, на увеличение роста смертности в 2021 году повлияло распространение коронавирусной инфекции.</w:t>
      </w:r>
    </w:p>
    <w:p w:rsidR="00AB1A37" w:rsidRPr="003E05D3" w:rsidRDefault="00AB1A37" w:rsidP="00877241">
      <w:pPr>
        <w:spacing w:line="25" w:lineRule="atLeast"/>
        <w:ind w:left="-284" w:firstLine="426"/>
        <w:jc w:val="both"/>
      </w:pPr>
      <w:r w:rsidRPr="003E05D3">
        <w:t xml:space="preserve">Численность постоянного населения на начало 2022 года по району составила 26784 человек, сокращение  относительно прошлого года  составило  587 человек,  вследствие естественной убыли и миграции населения. На прогнозируемый  период негативные демографические процессы в районе обусловлены возрастной структурой населения и сохранением миграционного оттока населения. </w:t>
      </w:r>
    </w:p>
    <w:p w:rsidR="00AB1A37" w:rsidRPr="003E05D3" w:rsidRDefault="00AB1A37" w:rsidP="00877241">
      <w:pPr>
        <w:spacing w:line="25" w:lineRule="atLeast"/>
        <w:ind w:left="-284" w:firstLine="426"/>
        <w:jc w:val="both"/>
      </w:pPr>
      <w:r w:rsidRPr="003E05D3">
        <w:t xml:space="preserve">Мероприятия по увеличению рождаемости и сокращению уровня смертности, прежде всего граждан трудоспособного возраста позволят постепенно стабилизировать коэффициент рождаемости и сохранить коэффициент смертности к 2025 году на уровне </w:t>
      </w:r>
      <w:r>
        <w:t xml:space="preserve">18,5 - </w:t>
      </w:r>
      <w:r w:rsidRPr="003E05D3">
        <w:t>18,0 на 1000 человек населения</w:t>
      </w:r>
      <w:r w:rsidR="00614273">
        <w:t xml:space="preserve"> (по вариантам прогноза)</w:t>
      </w:r>
      <w:r w:rsidRPr="003E05D3">
        <w:t>.</w:t>
      </w:r>
      <w:r>
        <w:t xml:space="preserve"> </w:t>
      </w:r>
    </w:p>
    <w:p w:rsidR="00AB1A37" w:rsidRPr="003E05D3" w:rsidRDefault="00AB1A37" w:rsidP="00877241">
      <w:pPr>
        <w:spacing w:line="25" w:lineRule="atLeast"/>
        <w:ind w:left="-284" w:firstLine="426"/>
        <w:jc w:val="both"/>
      </w:pPr>
      <w:r w:rsidRPr="003E05D3">
        <w:t>На прогнозируемый период миграционный процесс несколько снизится  в результате  привлечения на постоянное место жительства  соотечественников, проживающих в ближнем зарубежье. Указанные меры позволят  стабилизировать численность занятых  в экономике, снизить численность безработных в результате открытия или сохранения  рабочих мест на крупных и средних предприятиях  района.</w:t>
      </w:r>
    </w:p>
    <w:p w:rsidR="00AB1A37" w:rsidRPr="003E05D3" w:rsidRDefault="00AB1A37" w:rsidP="00877241">
      <w:pPr>
        <w:spacing w:line="25" w:lineRule="atLeast"/>
        <w:ind w:left="-284" w:firstLine="426"/>
        <w:jc w:val="center"/>
        <w:rPr>
          <w:b/>
          <w:sz w:val="28"/>
          <w:szCs w:val="28"/>
        </w:rPr>
      </w:pPr>
      <w:r w:rsidRPr="003E05D3">
        <w:rPr>
          <w:b/>
          <w:sz w:val="28"/>
          <w:szCs w:val="28"/>
        </w:rPr>
        <w:t>3. Труд и занятость</w:t>
      </w:r>
    </w:p>
    <w:p w:rsidR="00AB1A37" w:rsidRPr="003E05D3" w:rsidRDefault="00AB1A37" w:rsidP="00877241">
      <w:pPr>
        <w:spacing w:line="25" w:lineRule="atLeast"/>
        <w:ind w:left="-284" w:firstLine="426"/>
        <w:jc w:val="both"/>
      </w:pPr>
      <w:r w:rsidRPr="003E05D3">
        <w:t xml:space="preserve">Негативная  демографическая динамика последних лет является основой неутешительного прогноза сокращения трудоспособного населения. В последующие годы предполагается </w:t>
      </w:r>
      <w:r w:rsidRPr="003E05D3">
        <w:lastRenderedPageBreak/>
        <w:t>остановить сокращение численности трудосп</w:t>
      </w:r>
      <w:r>
        <w:t xml:space="preserve">особной части населения, путем </w:t>
      </w:r>
      <w:r w:rsidRPr="003E05D3">
        <w:t xml:space="preserve">проводимых мероприятий в области здравоохранения в соответствии с Указом Президента  Российской Федерации  и создания  условий для  трудоустройства  молодежи. </w:t>
      </w:r>
    </w:p>
    <w:p w:rsidR="00AB1A37" w:rsidRPr="003E05D3" w:rsidRDefault="00AB1A37" w:rsidP="00877241">
      <w:pPr>
        <w:pStyle w:val="22"/>
        <w:spacing w:before="120" w:line="25" w:lineRule="atLeast"/>
        <w:ind w:left="-284" w:firstLine="426"/>
        <w:jc w:val="both"/>
        <w:rPr>
          <w:sz w:val="24"/>
          <w:szCs w:val="24"/>
        </w:rPr>
      </w:pPr>
      <w:r w:rsidRPr="003E05D3">
        <w:rPr>
          <w:sz w:val="24"/>
          <w:szCs w:val="24"/>
        </w:rPr>
        <w:t xml:space="preserve">В сфере организации труда отмечаются значительные масштабы занятости в неформальном секторе экономики, низкие заработки значительной части работающих, отсутствие экономической зависимости  доходов работников и его трудового вклада, является стимулом  для  выхода работника на рынок труда в поисках работы.        </w:t>
      </w:r>
    </w:p>
    <w:p w:rsidR="00AB1A37" w:rsidRPr="003E05D3" w:rsidRDefault="00AB1A37" w:rsidP="00877241">
      <w:pPr>
        <w:pStyle w:val="a7"/>
        <w:spacing w:before="0" w:beforeAutospacing="0" w:after="0" w:afterAutospacing="0" w:line="276" w:lineRule="auto"/>
        <w:ind w:left="-284"/>
        <w:jc w:val="both"/>
      </w:pPr>
      <w:r w:rsidRPr="003E05D3">
        <w:t xml:space="preserve">      В период снижения ограничительных мер  по распространению коронавирусной инфекции COVID-19 анализ показал увеличение  потребности в кадрах. Численность занятых в экономике  в 2021 году составила </w:t>
      </w:r>
      <w:r w:rsidRPr="00737D6A">
        <w:t>12250</w:t>
      </w:r>
      <w:r w:rsidRPr="003E05D3">
        <w:t xml:space="preserve"> человек. За период </w:t>
      </w:r>
      <w:r>
        <w:t>с января по декабрь 2021  года</w:t>
      </w:r>
      <w:r w:rsidRPr="003E05D3">
        <w:t xml:space="preserve"> в службу занятости 129 работодателей  заявили 1330 вакансии, это на 5,4 % больше, чем на аналогичную дату прошлого года (1262 вакансий).</w:t>
      </w:r>
    </w:p>
    <w:p w:rsidR="00AB1A37" w:rsidRDefault="00AB1A37" w:rsidP="00877241">
      <w:pPr>
        <w:pStyle w:val="a7"/>
        <w:spacing w:before="0" w:beforeAutospacing="0" w:after="0" w:afterAutospacing="0" w:line="276" w:lineRule="auto"/>
        <w:ind w:left="-284" w:firstLine="426"/>
        <w:jc w:val="both"/>
      </w:pPr>
      <w:r w:rsidRPr="003E05D3">
        <w:t xml:space="preserve">В поисках работы за 2021 год в центр занятости обратилось 1387 гражданин. На постоянные рабочие места были трудоустроены 566 человека. По направлению центра занятости повысили квалификацию или прошли переподготовку в целях дальнейшего трудоустройства 75 безработных граждан. Еще 217 человек стали участниками временного трудоустройства при реализации мероприятий содействия занятости.      В результате проведенной работы уровень безработицы на территории района  составил 2,5%. </w:t>
      </w:r>
    </w:p>
    <w:p w:rsidR="00AB1A37" w:rsidRPr="003E05D3" w:rsidRDefault="00AB1A37" w:rsidP="00877241">
      <w:pPr>
        <w:pStyle w:val="a7"/>
        <w:spacing w:before="0" w:beforeAutospacing="0" w:after="0" w:afterAutospacing="0" w:line="276" w:lineRule="auto"/>
        <w:ind w:left="-284" w:firstLine="426"/>
        <w:jc w:val="both"/>
      </w:pPr>
      <w:r>
        <w:rPr>
          <w:rFonts w:eastAsiaTheme="minorHAnsi"/>
          <w:color w:val="000000"/>
          <w:lang w:eastAsia="en-US"/>
        </w:rPr>
        <w:t>Уровень официально зарегистрированной безработицы на конец периода (</w:t>
      </w:r>
      <w:proofErr w:type="gramStart"/>
      <w:r>
        <w:rPr>
          <w:rFonts w:eastAsiaTheme="minorHAnsi"/>
          <w:color w:val="000000"/>
          <w:lang w:eastAsia="en-US"/>
        </w:rPr>
        <w:t>в</w:t>
      </w:r>
      <w:proofErr w:type="gramEnd"/>
      <w:r>
        <w:rPr>
          <w:rFonts w:eastAsiaTheme="minorHAnsi"/>
          <w:color w:val="000000"/>
          <w:lang w:eastAsia="en-US"/>
        </w:rPr>
        <w:t xml:space="preserve"> % </w:t>
      </w:r>
      <w:proofErr w:type="gramStart"/>
      <w:r>
        <w:rPr>
          <w:rFonts w:eastAsiaTheme="minorHAnsi"/>
          <w:color w:val="000000"/>
          <w:lang w:eastAsia="en-US"/>
        </w:rPr>
        <w:t>к</w:t>
      </w:r>
      <w:proofErr w:type="gramEnd"/>
      <w:r>
        <w:rPr>
          <w:rFonts w:eastAsiaTheme="minorHAnsi"/>
          <w:color w:val="000000"/>
          <w:lang w:eastAsia="en-US"/>
        </w:rPr>
        <w:t xml:space="preserve"> экономически активному населению) за 1 полугодие составил 2,8%, ожидаемый за 2022 год – 2,4%.</w:t>
      </w:r>
      <w:r>
        <w:t xml:space="preserve"> Прогнозируемый уровень зарегистрированной  безработицы в 2025 году составит от 2,2% до 2,1%</w:t>
      </w:r>
      <w:r w:rsidR="00614273">
        <w:t xml:space="preserve"> (по вариантам прогноза)</w:t>
      </w:r>
      <w:r>
        <w:t xml:space="preserve">. </w:t>
      </w:r>
    </w:p>
    <w:p w:rsidR="00AB1A37" w:rsidRPr="003E05D3" w:rsidRDefault="00AB1A37" w:rsidP="00877241">
      <w:pPr>
        <w:pStyle w:val="22"/>
        <w:spacing w:before="120" w:line="25" w:lineRule="atLeast"/>
        <w:ind w:left="-284" w:firstLine="426"/>
        <w:jc w:val="both"/>
        <w:rPr>
          <w:sz w:val="24"/>
          <w:szCs w:val="24"/>
        </w:rPr>
      </w:pPr>
      <w:r w:rsidRPr="003E05D3">
        <w:rPr>
          <w:sz w:val="24"/>
          <w:szCs w:val="24"/>
        </w:rPr>
        <w:t xml:space="preserve"> В результате проводимой  работы Администрацией  района, по заключению трудовых договоров с работодателями и учета лиц, проживающих на территории района,  в прогнозном периоде на фоне стабилизации экономической  ситуации ожидается незначительное увеличение численности занятых в экономике района – к 2025 году </w:t>
      </w:r>
      <w:r>
        <w:rPr>
          <w:sz w:val="24"/>
          <w:szCs w:val="24"/>
        </w:rPr>
        <w:t xml:space="preserve">12280 </w:t>
      </w:r>
      <w:r w:rsidRPr="003E05D3">
        <w:rPr>
          <w:sz w:val="24"/>
          <w:szCs w:val="24"/>
        </w:rPr>
        <w:t xml:space="preserve">до </w:t>
      </w:r>
      <w:r w:rsidRPr="000B5A01">
        <w:rPr>
          <w:sz w:val="24"/>
          <w:szCs w:val="24"/>
        </w:rPr>
        <w:t>12320  ч</w:t>
      </w:r>
      <w:r w:rsidRPr="003E05D3">
        <w:rPr>
          <w:sz w:val="24"/>
          <w:szCs w:val="24"/>
        </w:rPr>
        <w:t>еловек. Уровень регистрируемой безработицы по оценке 2022 года ожидается на уровне 2,4%. На прогнозируемый период ожидается сокращение регистрируемой безработицы от 25 до 400 человек относительно 2021 года. За счет действия  краевой программы «Дополнительные меры по снижению напряженности на рынке труда в Алтайском крае», муниципальной программы поддержки предпринимательства и за счет создания дополнительных рабочих мест в основном в сфере  малого бизнеса  уровень зарегистрированной безработицы к 2025</w:t>
      </w:r>
      <w:r>
        <w:rPr>
          <w:sz w:val="24"/>
          <w:szCs w:val="24"/>
        </w:rPr>
        <w:t xml:space="preserve"> </w:t>
      </w:r>
      <w:r w:rsidRPr="003E05D3">
        <w:rPr>
          <w:sz w:val="24"/>
          <w:szCs w:val="24"/>
        </w:rPr>
        <w:t>году не превысит 2,2-2,1%</w:t>
      </w:r>
      <w:r>
        <w:rPr>
          <w:sz w:val="24"/>
          <w:szCs w:val="24"/>
        </w:rPr>
        <w:t xml:space="preserve"> (по вариантам прогноза)</w:t>
      </w:r>
      <w:r w:rsidRPr="003E05D3">
        <w:rPr>
          <w:sz w:val="24"/>
          <w:szCs w:val="24"/>
        </w:rPr>
        <w:t xml:space="preserve">. </w:t>
      </w:r>
    </w:p>
    <w:p w:rsidR="00AB1A37" w:rsidRPr="003E05D3" w:rsidRDefault="00AB1A37" w:rsidP="00877241">
      <w:pPr>
        <w:spacing w:line="25" w:lineRule="atLeast"/>
        <w:ind w:left="-284" w:firstLine="425"/>
        <w:jc w:val="both"/>
      </w:pPr>
      <w:r w:rsidRPr="003E05D3">
        <w:t xml:space="preserve">Среднемесячная заработная  плата по крупным и средним предприятиям за 2021 год составила 36562,8 рублей, темп роста </w:t>
      </w:r>
      <w:r>
        <w:t xml:space="preserve">к уровню 2020 года </w:t>
      </w:r>
      <w:r w:rsidRPr="003E05D3">
        <w:t xml:space="preserve">составил </w:t>
      </w:r>
      <w:r w:rsidRPr="003211D0">
        <w:t>108,</w:t>
      </w:r>
      <w:r>
        <w:t>9</w:t>
      </w:r>
      <w:r w:rsidRPr="003E05D3">
        <w:t xml:space="preserve">%. Оценка темпа роста заработной платы по крупным и средним предприятиям текущего года составит 110%, среднемесячная заработная плата </w:t>
      </w:r>
      <w:r>
        <w:t>с</w:t>
      </w:r>
      <w:r w:rsidRPr="003E05D3">
        <w:t>оставит 40220 рубл</w:t>
      </w:r>
      <w:r>
        <w:t>ей</w:t>
      </w:r>
      <w:r w:rsidRPr="003E05D3">
        <w:t>, согласно Соглашению</w:t>
      </w:r>
      <w:r w:rsidRPr="003E05D3">
        <w:rPr>
          <w:sz w:val="28"/>
          <w:szCs w:val="28"/>
        </w:rPr>
        <w:t xml:space="preserve"> </w:t>
      </w:r>
      <w:r w:rsidRPr="003E05D3">
        <w:t xml:space="preserve">между Администрацией Алтайского края и администрацией Благовещенского района о взаимодействии в области планирования социально-экономического развития на 2022 год. </w:t>
      </w:r>
    </w:p>
    <w:p w:rsidR="00AB1A37" w:rsidRPr="003E05D3" w:rsidRDefault="00AB1A37" w:rsidP="00877241">
      <w:pPr>
        <w:spacing w:line="25" w:lineRule="atLeast"/>
        <w:ind w:left="-284" w:firstLine="426"/>
        <w:jc w:val="both"/>
      </w:pPr>
      <w:r w:rsidRPr="003E05D3">
        <w:t>Рост заработной платы на прогнозируемый период будет обусловлен в основном за счет градообразующего предприятии ОАО «Кучуксульфат» и ростом размера минимальной заработной платы.</w:t>
      </w:r>
    </w:p>
    <w:p w:rsidR="00AB1A37" w:rsidRPr="003E05D3" w:rsidRDefault="00AB1A37" w:rsidP="00877241">
      <w:pPr>
        <w:spacing w:line="25" w:lineRule="atLeast"/>
        <w:ind w:left="-284" w:firstLine="426"/>
        <w:jc w:val="both"/>
      </w:pPr>
      <w:r w:rsidRPr="003E05D3">
        <w:t>Темп роста среднемесячной  заработной платы по крупным и средним предприятиям в 2025 году относительно 2021 года составит 136</w:t>
      </w:r>
      <w:r>
        <w:t>%-140</w:t>
      </w:r>
      <w:r w:rsidRPr="003E05D3">
        <w:t xml:space="preserve">%. Среднемесячная заработная плата </w:t>
      </w:r>
      <w:r w:rsidRPr="00B654E6">
        <w:t>к 2025 году составит от 49872 до 51510 рублей (по вариантам прогноза).</w:t>
      </w:r>
    </w:p>
    <w:p w:rsidR="00AB1A37" w:rsidRPr="003E05D3" w:rsidRDefault="00AB1A37" w:rsidP="00877241">
      <w:pPr>
        <w:spacing w:line="25" w:lineRule="atLeast"/>
        <w:ind w:left="-284" w:firstLine="426"/>
        <w:jc w:val="both"/>
        <w:rPr>
          <w:color w:val="000000" w:themeColor="text1"/>
        </w:rPr>
      </w:pPr>
      <w:r w:rsidRPr="003E05D3">
        <w:rPr>
          <w:color w:val="000000" w:themeColor="text1"/>
        </w:rPr>
        <w:t>Стабильная работа основных крупных предприятий района, осуществление мер по исполнению Указов Президента Российской Федерации, создадут условия для устойчивого повышен</w:t>
      </w:r>
      <w:r>
        <w:rPr>
          <w:color w:val="000000" w:themeColor="text1"/>
        </w:rPr>
        <w:t xml:space="preserve">ия жизненного уровня населения </w:t>
      </w:r>
      <w:r w:rsidRPr="003E05D3">
        <w:rPr>
          <w:color w:val="000000" w:themeColor="text1"/>
        </w:rPr>
        <w:t>всего района.</w:t>
      </w:r>
    </w:p>
    <w:p w:rsidR="00AB1A37" w:rsidRPr="003E05D3" w:rsidRDefault="00AB1A37" w:rsidP="00877241">
      <w:pPr>
        <w:pStyle w:val="22"/>
        <w:spacing w:before="120" w:line="25" w:lineRule="atLeast"/>
        <w:ind w:left="-284" w:firstLine="426"/>
        <w:jc w:val="both"/>
        <w:rPr>
          <w:sz w:val="24"/>
          <w:szCs w:val="24"/>
        </w:rPr>
      </w:pPr>
    </w:p>
    <w:p w:rsidR="00AB1A37" w:rsidRPr="003E05D3" w:rsidRDefault="00AB1A37" w:rsidP="00877241">
      <w:pPr>
        <w:pStyle w:val="a8"/>
        <w:spacing w:after="0" w:line="25" w:lineRule="atLeast"/>
        <w:ind w:left="-284" w:firstLine="426"/>
        <w:jc w:val="center"/>
        <w:rPr>
          <w:b/>
          <w:lang w:val="ru-RU"/>
        </w:rPr>
      </w:pPr>
      <w:r w:rsidRPr="003E05D3">
        <w:rPr>
          <w:rFonts w:asciiTheme="minorHAnsi" w:hAnsiTheme="minorHAnsi"/>
          <w:b/>
          <w:sz w:val="28"/>
          <w:szCs w:val="28"/>
          <w:lang w:val="ru-RU"/>
        </w:rPr>
        <w:t>4</w:t>
      </w:r>
      <w:r w:rsidRPr="003E05D3">
        <w:rPr>
          <w:b/>
          <w:sz w:val="28"/>
          <w:szCs w:val="28"/>
          <w:lang w:val="ru-RU"/>
        </w:rPr>
        <w:t>.Промышленное производство</w:t>
      </w:r>
    </w:p>
    <w:p w:rsidR="00AB1A37" w:rsidRPr="003E05D3" w:rsidRDefault="00AB1A37" w:rsidP="00877241">
      <w:pPr>
        <w:pStyle w:val="Default"/>
        <w:ind w:left="-284" w:firstLine="284"/>
        <w:jc w:val="both"/>
      </w:pPr>
      <w:r w:rsidRPr="003E05D3">
        <w:t xml:space="preserve">Благовещенский  район располагает достаточно развитым промышленным потенциалом. В районе производятся: сульфат натрия,  масло сливочное, сыр, мясо, мясные полуфабрикаты, мука, хлеб и хлебобулочные изделия и оказываются услуги зерноперерабатывающего производства. Потребителям  в 2021 году отгружено продукции собственного производства 6284 млн. рублей, к уровню 2020 снижение составило года </w:t>
      </w:r>
      <w:r>
        <w:t xml:space="preserve">  </w:t>
      </w:r>
      <w:r w:rsidRPr="003E05D3">
        <w:t>2,3%.</w:t>
      </w:r>
      <w:r>
        <w:t xml:space="preserve">  Основной причиной снижение отгрузки продукции является  снижение </w:t>
      </w:r>
      <w:r w:rsidRPr="00D675DB">
        <w:t>производства химических веществ и химических продуктов</w:t>
      </w:r>
      <w:r>
        <w:t xml:space="preserve"> на ОАО «Кучуксульфат».  Из-за нестабильной ситуации на внутренне</w:t>
      </w:r>
      <w:r w:rsidRPr="003E05D3">
        <w:t>м и внешнем рынках</w:t>
      </w:r>
      <w:r>
        <w:t>, степень загрузки производственных мощностей ОАО «Кучуксульфат» составил 71,4%.</w:t>
      </w:r>
      <w:r w:rsidRPr="003E05D3">
        <w:t xml:space="preserve"> </w:t>
      </w:r>
      <w:r>
        <w:t xml:space="preserve"> Следовательно,  и и</w:t>
      </w:r>
      <w:r w:rsidRPr="003E05D3">
        <w:t>ндекс промышленного производства снизился с 95,2% в  2020 году до 93,8% в 2021 году</w:t>
      </w:r>
      <w:r>
        <w:t>.</w:t>
      </w:r>
    </w:p>
    <w:p w:rsidR="00AB1A37" w:rsidRPr="003E05D3" w:rsidRDefault="00AB1A37" w:rsidP="00877241">
      <w:pPr>
        <w:spacing w:line="25" w:lineRule="atLeast"/>
        <w:ind w:left="-284" w:firstLine="426"/>
        <w:jc w:val="both"/>
      </w:pPr>
      <w:r w:rsidRPr="003E05D3">
        <w:t>Объем отгруженной  промышленной продукции по крупным и средним предприятиям в 2022 году оценивается на уровне 5,2 млрд. руб. или 82,4 % к уровню аналогичного периода прошлого года.</w:t>
      </w:r>
    </w:p>
    <w:p w:rsidR="00AB1A37" w:rsidRPr="003E05D3" w:rsidRDefault="00AB1A37" w:rsidP="00877241">
      <w:pPr>
        <w:spacing w:line="25" w:lineRule="atLeast"/>
        <w:ind w:left="-284" w:firstLine="426"/>
        <w:jc w:val="both"/>
      </w:pPr>
      <w:r w:rsidRPr="003E05D3">
        <w:t>Обрабатывающими предприятиями отгружено 5944,6 млн.</w:t>
      </w:r>
      <w:r>
        <w:t xml:space="preserve"> </w:t>
      </w:r>
      <w:r w:rsidRPr="003E05D3">
        <w:t xml:space="preserve">руб., индекс физического объема составил 73,9%. Производство  основного продукта  ОАО «Кучуксульфат» - сульфата натрия  составило  571,7 </w:t>
      </w:r>
      <w:proofErr w:type="spellStart"/>
      <w:r w:rsidRPr="003E05D3">
        <w:t>тыс.тонн</w:t>
      </w:r>
      <w:proofErr w:type="spellEnd"/>
      <w:r w:rsidRPr="003E05D3">
        <w:t>, или 94,6% к уровню прошлого года. Производство муки   относительно уровня прошлого составило 103,2%, масла сливочного -87,4%, сыров – 78,1%.</w:t>
      </w:r>
    </w:p>
    <w:p w:rsidR="00AB1A37" w:rsidRPr="003E05D3" w:rsidRDefault="00AB1A37" w:rsidP="00877241">
      <w:pPr>
        <w:spacing w:line="25" w:lineRule="atLeast"/>
        <w:ind w:left="-284" w:firstLine="426"/>
        <w:jc w:val="both"/>
        <w:rPr>
          <w:color w:val="000000" w:themeColor="text1"/>
        </w:rPr>
      </w:pPr>
      <w:r w:rsidRPr="003E05D3">
        <w:rPr>
          <w:color w:val="000000" w:themeColor="text1"/>
        </w:rPr>
        <w:t xml:space="preserve">По итогам  1 полугодия  2022 года объем отгруженных товаров по крупным и средним предприятие составил  2187,6млн. рублей  или 71,1% к соответствующему периоду прошлого года. Индекс промышленного производства по полному кругу предприятий 75,2%. Производство сульфата натрия  к уровню прошлого года  составил 58,5%,  что составляет  166,9 </w:t>
      </w:r>
      <w:proofErr w:type="spellStart"/>
      <w:r w:rsidRPr="003E05D3">
        <w:rPr>
          <w:color w:val="000000" w:themeColor="text1"/>
        </w:rPr>
        <w:t>тыс.тонн</w:t>
      </w:r>
      <w:proofErr w:type="spellEnd"/>
      <w:r w:rsidRPr="003E05D3">
        <w:rPr>
          <w:color w:val="000000" w:themeColor="text1"/>
        </w:rPr>
        <w:t xml:space="preserve">. Производство  промышленной продукции   в прогнозируемом периоде ожидает   рост, финансовое состояние предприятий обрабатывающего сектора характеризуется  ростом прибыли и повышением  уровня жизни  работающих на  данных предприятиях. </w:t>
      </w:r>
    </w:p>
    <w:p w:rsidR="00AB1A37" w:rsidRPr="003E05D3" w:rsidRDefault="00AB1A37" w:rsidP="00877241">
      <w:pPr>
        <w:spacing w:line="25" w:lineRule="atLeast"/>
        <w:ind w:left="-284" w:firstLine="426"/>
        <w:jc w:val="both"/>
      </w:pPr>
      <w:r w:rsidRPr="003E05D3">
        <w:t xml:space="preserve"> Объем отгруженной  промышленной продукции по виду деятельности «Обрабатывающие производства» по крупным и средним предприятиям в 2022году оценивается на уровне 4,8 млрд. руб. или 81,4% к уровню аналогичного периода прошлого года.</w:t>
      </w:r>
    </w:p>
    <w:p w:rsidR="00AB1A37" w:rsidRPr="00C16AE9" w:rsidRDefault="00AB1A37" w:rsidP="00877241">
      <w:pPr>
        <w:spacing w:line="25" w:lineRule="atLeast"/>
        <w:ind w:left="-284" w:firstLine="426"/>
        <w:jc w:val="both"/>
        <w:rPr>
          <w:color w:val="000000" w:themeColor="text1"/>
        </w:rPr>
      </w:pPr>
      <w:r w:rsidRPr="003E05D3">
        <w:t xml:space="preserve">Производство  основного  продукта – сульфата натрия является неустойчивым, из-за сложившейся ситуации на внутренним и внешнем рынках. На ОАО «Кучуксульфат»  производство основного вида  продукции - сульфата натрия будет  ежегодно  увеличиваться на </w:t>
      </w:r>
      <w:r w:rsidRPr="00C16AE9">
        <w:rPr>
          <w:color w:val="000000" w:themeColor="text1"/>
        </w:rPr>
        <w:t xml:space="preserve">3,9-4,5%.   </w:t>
      </w:r>
    </w:p>
    <w:p w:rsidR="00AB1A37" w:rsidRPr="003E05D3" w:rsidRDefault="00AB1A37" w:rsidP="00877241">
      <w:pPr>
        <w:spacing w:line="25" w:lineRule="atLeast"/>
        <w:ind w:left="-284" w:firstLine="426"/>
        <w:jc w:val="both"/>
      </w:pPr>
      <w:r w:rsidRPr="003E05D3">
        <w:t xml:space="preserve"> В последнее время   ОАО «Благовещенский комбинат молочных продуктов»  наращивает  объемы производства продукции. В 2022 году ожидается производство сливочного масла в пределах 770 тонн, производство сыра  на уровне прошлого года 3500 тонн.  В прогнозируемом периоде с 2023 по 2025год ожидается незначительный рост объемов производства масла сливочного и сыра, в пределах 5%.</w:t>
      </w:r>
    </w:p>
    <w:p w:rsidR="00AB1A37" w:rsidRPr="003E05D3" w:rsidRDefault="00AB1A37" w:rsidP="00877241">
      <w:pPr>
        <w:spacing w:line="25" w:lineRule="atLeast"/>
        <w:ind w:left="-284" w:firstLine="426"/>
        <w:jc w:val="both"/>
      </w:pPr>
      <w:r w:rsidRPr="003E05D3">
        <w:t>Производство в 2022 году масла растительного, муки, хлеба ожидается ниже уровня 2021 года, за счет меньшего количества сырья (пшеницы, подсолнечника) поступающего для переработки на предприятия, что связано с погодными условиями. На перспективу, 2023-2025годы, при благоприятных природно-климатических условиях планируется рост производства данных видов продукции: муки на 4,7%-5,6%, хлеба от 3% до 6%, масла растительного от 13,3% до 26,7%.</w:t>
      </w:r>
    </w:p>
    <w:p w:rsidR="00AB1A37" w:rsidRPr="003E05D3" w:rsidRDefault="00AB1A37" w:rsidP="00877241">
      <w:pPr>
        <w:autoSpaceDE w:val="0"/>
        <w:autoSpaceDN w:val="0"/>
        <w:adjustRightInd w:val="0"/>
        <w:ind w:left="-284" w:firstLine="284"/>
        <w:jc w:val="both"/>
        <w:rPr>
          <w:rFonts w:eastAsiaTheme="minorHAnsi"/>
          <w:color w:val="000000"/>
          <w:lang w:eastAsia="en-US"/>
        </w:rPr>
      </w:pPr>
      <w:r w:rsidRPr="003E05D3">
        <w:rPr>
          <w:rFonts w:eastAsiaTheme="minorHAnsi"/>
          <w:color w:val="000000"/>
          <w:lang w:eastAsia="en-US"/>
        </w:rPr>
        <w:t xml:space="preserve">В энергетическом секторе в целом ситуация стабильна. Объем отгруженных товаров собственного производства, работ и услуг по виду деятельности «Обеспечение электрической энергией, газом и паром; кондиционирование воздуха» в 2021 году составил 207,3млн. рублей.     В 2022году ожидается незначительный рост объема отгруженных товаров собственного производства, работ и услуг по виду деятельности "Обеспечение электрической энергией, газом и паром; кондиционирование воздуха" на 1,4 %, за роста тарифов на  энергетические ресурсы.  В прогнозном периоде, 2023 – 2025 годы, планируется увеличение объема отгруженных </w:t>
      </w:r>
      <w:r w:rsidRPr="003E05D3">
        <w:rPr>
          <w:rFonts w:eastAsiaTheme="minorHAnsi"/>
          <w:color w:val="000000"/>
          <w:lang w:eastAsia="en-US"/>
        </w:rPr>
        <w:lastRenderedPageBreak/>
        <w:t>товаров от 256,4 млн. руб. до 268,1 млн.рублей. Индекс производства прогнозируется к 2024 году 101%-102%.</w:t>
      </w:r>
    </w:p>
    <w:p w:rsidR="00AB1A37" w:rsidRPr="003E05D3" w:rsidRDefault="00AB1A37" w:rsidP="00877241">
      <w:pPr>
        <w:autoSpaceDE w:val="0"/>
        <w:autoSpaceDN w:val="0"/>
        <w:adjustRightInd w:val="0"/>
        <w:ind w:left="-284" w:firstLine="284"/>
        <w:jc w:val="both"/>
        <w:rPr>
          <w:rFonts w:eastAsiaTheme="minorHAnsi"/>
          <w:color w:val="000000"/>
          <w:lang w:eastAsia="en-US"/>
        </w:rPr>
      </w:pPr>
      <w:r w:rsidRPr="003E05D3">
        <w:rPr>
          <w:rFonts w:eastAsiaTheme="minorHAnsi"/>
          <w:lang w:eastAsia="en-US"/>
        </w:rPr>
        <w:t xml:space="preserve">По виду деятельности «Водоснабжение, водоотведение, организация сбора и утилизации отходов, деятельность по ликвидации загрязнений» объем отгруженных товаров собственного производства, работ и услуг в 2021 году составил 132,3 млн.рублей. </w:t>
      </w:r>
      <w:r w:rsidRPr="003E05D3">
        <w:rPr>
          <w:rFonts w:eastAsiaTheme="minorHAnsi"/>
          <w:color w:val="000000"/>
          <w:lang w:eastAsia="en-US"/>
        </w:rPr>
        <w:t>В 2022году ожидается снижение  объема отгруженных товаров собственного производства, работ и услуг на 13,3 %, за счет снижения потребления услуг по  холодному водоснабжению и водоотведению в натуральном выражении. В прогнозном периоде, 2023 – 2025 годы, планируется увеличение объема отгруженных товаров от 110,4 млн.рублей до 131,3,0 млн.рублей. Индекс производства прогнозируется к 2054 году 100%-102%.</w:t>
      </w:r>
    </w:p>
    <w:p w:rsidR="00AB1A37" w:rsidRPr="003E05D3" w:rsidRDefault="00AB1A37" w:rsidP="00877241">
      <w:pPr>
        <w:spacing w:line="25" w:lineRule="atLeast"/>
        <w:ind w:left="-284" w:firstLine="426"/>
        <w:jc w:val="both"/>
      </w:pPr>
      <w:r w:rsidRPr="003E05D3">
        <w:t xml:space="preserve"> </w:t>
      </w:r>
    </w:p>
    <w:p w:rsidR="00AB1A37" w:rsidRPr="003E05D3" w:rsidRDefault="00AB1A37" w:rsidP="00877241">
      <w:pPr>
        <w:spacing w:line="25" w:lineRule="atLeast"/>
        <w:ind w:left="-284" w:firstLine="426"/>
        <w:jc w:val="both"/>
      </w:pPr>
    </w:p>
    <w:p w:rsidR="00AB1A37" w:rsidRPr="003E05D3" w:rsidRDefault="00AB1A37" w:rsidP="00877241">
      <w:pPr>
        <w:spacing w:line="25" w:lineRule="atLeast"/>
        <w:ind w:left="-284" w:firstLine="426"/>
        <w:jc w:val="center"/>
        <w:rPr>
          <w:b/>
          <w:sz w:val="28"/>
          <w:szCs w:val="28"/>
        </w:rPr>
      </w:pPr>
      <w:r w:rsidRPr="003E05D3">
        <w:rPr>
          <w:b/>
          <w:sz w:val="28"/>
          <w:szCs w:val="28"/>
        </w:rPr>
        <w:t>5.Сельское хозяйство</w:t>
      </w:r>
    </w:p>
    <w:p w:rsidR="00AB1A37" w:rsidRPr="003E05D3" w:rsidRDefault="00AB1A37" w:rsidP="00877241">
      <w:pPr>
        <w:pStyle w:val="ab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5D3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3E05D3">
        <w:rPr>
          <w:rFonts w:ascii="Times New Roman" w:hAnsi="Times New Roman" w:cs="Times New Roman"/>
          <w:sz w:val="24"/>
          <w:szCs w:val="24"/>
        </w:rPr>
        <w:t>Развитие аграрного производства в сочетании с опорой на промышленный сектор делает экономику более сбалансированной, мобильной, гибкой.</w:t>
      </w:r>
    </w:p>
    <w:p w:rsidR="00AB1A37" w:rsidRPr="003E05D3" w:rsidRDefault="00AB1A37" w:rsidP="00877241">
      <w:pPr>
        <w:pStyle w:val="ab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5D3">
        <w:rPr>
          <w:rFonts w:ascii="Times New Roman" w:hAnsi="Times New Roman" w:cs="Times New Roman"/>
          <w:sz w:val="24"/>
          <w:szCs w:val="24"/>
        </w:rPr>
        <w:t xml:space="preserve">     </w:t>
      </w:r>
      <w:r w:rsidRPr="003E05D3">
        <w:rPr>
          <w:rFonts w:ascii="Times New Roman" w:hAnsi="Times New Roman"/>
          <w:sz w:val="24"/>
          <w:szCs w:val="24"/>
        </w:rPr>
        <w:t>Не смотря на аномальные климатические условия в летний период 2021 года урожай наши аграрии, получили  выше, чем в 2020 году.</w:t>
      </w:r>
      <w:r w:rsidRPr="003E05D3">
        <w:rPr>
          <w:rFonts w:ascii="Times New Roman" w:hAnsi="Times New Roman"/>
          <w:sz w:val="28"/>
          <w:szCs w:val="28"/>
        </w:rPr>
        <w:t xml:space="preserve"> </w:t>
      </w:r>
      <w:r w:rsidRPr="003E05D3">
        <w:rPr>
          <w:rFonts w:ascii="Times New Roman" w:hAnsi="Times New Roman" w:cs="Times New Roman"/>
          <w:sz w:val="24"/>
          <w:szCs w:val="24"/>
        </w:rPr>
        <w:t>Валовой  сбор зерновых и зернобобовых культур в весе после доработки в минувшем году составил 61375 тонны, что составляет 8,5 центнеров с гектара. Валовой сбор подсолнечника на зерно составил 25856 тонн или 10,3 центнеров с гектара.</w:t>
      </w:r>
    </w:p>
    <w:p w:rsidR="00AB1A37" w:rsidRPr="003E05D3" w:rsidRDefault="00AB1A37" w:rsidP="00877241">
      <w:pPr>
        <w:spacing w:before="120"/>
        <w:ind w:left="-284" w:firstLine="284"/>
        <w:jc w:val="both"/>
      </w:pPr>
      <w:r w:rsidRPr="003E05D3">
        <w:t xml:space="preserve">    Для отрасли животноводства 2021 год сложился следующим образом:</w:t>
      </w:r>
      <w:r w:rsidRPr="003E05D3">
        <w:rPr>
          <w:sz w:val="28"/>
          <w:szCs w:val="28"/>
        </w:rPr>
        <w:t xml:space="preserve"> </w:t>
      </w:r>
      <w:r w:rsidRPr="003E05D3">
        <w:t xml:space="preserve"> производство молока в хозяйствах всех форм собственности составило </w:t>
      </w:r>
      <w:r w:rsidRPr="009C2859">
        <w:t>2050</w:t>
      </w:r>
      <w:r>
        <w:t>6,9</w:t>
      </w:r>
      <w:r w:rsidRPr="003E05D3">
        <w:t xml:space="preserve"> тонн, к уровню 2020 года- </w:t>
      </w:r>
      <w:r>
        <w:t>87,3%.</w:t>
      </w:r>
      <w:r w:rsidRPr="003E05D3">
        <w:t xml:space="preserve"> Производство скота и птицы</w:t>
      </w:r>
      <w:r>
        <w:t xml:space="preserve"> на убой в живом весе составило </w:t>
      </w:r>
      <w:r w:rsidRPr="009C2859">
        <w:t>2980,7</w:t>
      </w:r>
      <w:r w:rsidRPr="003E05D3">
        <w:t xml:space="preserve"> тонн или </w:t>
      </w:r>
      <w:r w:rsidRPr="009C2859">
        <w:t>101,3</w:t>
      </w:r>
      <w:r w:rsidRPr="003E05D3">
        <w:t xml:space="preserve"> % к уровню 2020 года. На 1 января 2022 года поголовье крупного рогатого скота во всех категориях хозяйств составило 11613 голов или 90,4% к уровню 2021 года, в том числе  коров 4542 головы или 81,6% к уровню 2021 года. </w:t>
      </w:r>
    </w:p>
    <w:p w:rsidR="00AB1A37" w:rsidRPr="003E05D3" w:rsidRDefault="00AB1A37" w:rsidP="00877241">
      <w:pPr>
        <w:autoSpaceDE w:val="0"/>
        <w:autoSpaceDN w:val="0"/>
        <w:adjustRightInd w:val="0"/>
        <w:ind w:left="-284" w:firstLine="284"/>
        <w:jc w:val="both"/>
      </w:pPr>
      <w:r w:rsidRPr="003E05D3">
        <w:t xml:space="preserve">    На протяжении нескольких лет сельскохозяйственные предприятия района активно ведут реконструкцию и  модернизацию животноводческих комплексов, приобретается современная сельскохозяйственная техника и оборудование.</w:t>
      </w:r>
    </w:p>
    <w:p w:rsidR="00AB1A37" w:rsidRPr="003E05D3" w:rsidRDefault="00AB1A37" w:rsidP="00877241">
      <w:pPr>
        <w:autoSpaceDE w:val="0"/>
        <w:autoSpaceDN w:val="0"/>
        <w:adjustRightInd w:val="0"/>
        <w:ind w:left="-284" w:firstLine="284"/>
        <w:jc w:val="both"/>
      </w:pPr>
      <w:r w:rsidRPr="003E05D3">
        <w:t xml:space="preserve">   Сельхозпредприятиями района всех форм собственности получено государственной поддержки в размере около 50 млн. рублей.</w:t>
      </w:r>
    </w:p>
    <w:p w:rsidR="00AB1A37" w:rsidRPr="003E05D3" w:rsidRDefault="00AB1A37" w:rsidP="00877241">
      <w:pPr>
        <w:pStyle w:val="ab"/>
        <w:ind w:left="-28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Индекс физического объема оценивается  в 2022 году в размере </w:t>
      </w:r>
      <w:r w:rsidRPr="009C2859">
        <w:rPr>
          <w:rFonts w:ascii="Times New Roman" w:hAnsi="Times New Roman" w:cs="Times New Roman"/>
          <w:color w:val="000000" w:themeColor="text1"/>
          <w:sz w:val="24"/>
          <w:szCs w:val="24"/>
        </w:rPr>
        <w:t>95</w:t>
      </w:r>
      <w:r w:rsidRPr="003E05D3">
        <w:rPr>
          <w:rFonts w:ascii="Times New Roman" w:hAnsi="Times New Roman" w:cs="Times New Roman"/>
          <w:color w:val="000000" w:themeColor="text1"/>
          <w:sz w:val="24"/>
          <w:szCs w:val="24"/>
        </w:rPr>
        <w:t>% к уровню 2021 года,  объем производства сельскохозяйственной продукции по всем категориям хозяйств составит     в пределах 3471,5 млн.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05D3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:rsidR="00AB1A37" w:rsidRPr="003E05D3" w:rsidRDefault="00AB1A37" w:rsidP="00877241">
      <w:pPr>
        <w:pStyle w:val="ab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5D3">
        <w:rPr>
          <w:rFonts w:ascii="Times New Roman" w:hAnsi="Times New Roman" w:cs="Times New Roman"/>
          <w:sz w:val="24"/>
          <w:szCs w:val="24"/>
        </w:rPr>
        <w:t>Валовой сбор зерновых в 2022 году оценивается в пределах 50546,3 тонн, подсолнечника  - 23430,6 тонн.</w:t>
      </w:r>
    </w:p>
    <w:p w:rsidR="00AB1A37" w:rsidRPr="003E05D3" w:rsidRDefault="00AB1A37" w:rsidP="00877241">
      <w:pPr>
        <w:spacing w:before="120"/>
        <w:ind w:left="-284"/>
        <w:jc w:val="both"/>
      </w:pPr>
      <w:r w:rsidRPr="003E05D3">
        <w:t xml:space="preserve">    На перспективу, 2023-2025 годы, наблюдается рост производства зерновых  и подсолнечника при условии  благоприятных погодных условий. В 2025 году ожидается получить валовой сбор зерновых  от 60000 тонн до 63000</w:t>
      </w:r>
      <w:r>
        <w:t xml:space="preserve"> </w:t>
      </w:r>
      <w:r w:rsidRPr="003E05D3">
        <w:t>тонн</w:t>
      </w:r>
      <w:r>
        <w:t xml:space="preserve"> </w:t>
      </w:r>
      <w:r w:rsidRPr="00B654E6">
        <w:t>(по вариантам прогноза),</w:t>
      </w:r>
      <w:r w:rsidRPr="003E05D3">
        <w:t xml:space="preserve"> подсолнечника от 23500 до 24500</w:t>
      </w:r>
      <w:r>
        <w:t xml:space="preserve"> </w:t>
      </w:r>
      <w:r w:rsidRPr="00B654E6">
        <w:t>тонн (по вариантам прогноза).</w:t>
      </w:r>
      <w:r w:rsidRPr="003E05D3">
        <w:t xml:space="preserve"> Для сохранения  уровня  производства  зерновых  культур  планируется проведение  ряда  агротехнических мер, направленных на повышение плодородия почвы, приобретение элитных семян, активного  внедрения мер государственной поддержки  и развитие  частных форм хозяйствования.</w:t>
      </w:r>
    </w:p>
    <w:p w:rsidR="00AB1A37" w:rsidRPr="003E05D3" w:rsidRDefault="00AB1A37" w:rsidP="00877241">
      <w:pPr>
        <w:spacing w:before="120"/>
        <w:ind w:left="-284"/>
        <w:jc w:val="both"/>
      </w:pPr>
      <w:r w:rsidRPr="003E05D3">
        <w:t xml:space="preserve">       В 2021 году произошло значительное сокращен</w:t>
      </w:r>
      <w:r>
        <w:t xml:space="preserve">ия поголовья КРС,  к уровню 2021 года </w:t>
      </w:r>
      <w:r w:rsidRPr="003E05D3">
        <w:t xml:space="preserve"> на 1235 голов. В 2022 году уровень поголовья КРС ожидается сохранить на уровне 2021</w:t>
      </w:r>
      <w:r>
        <w:t xml:space="preserve"> </w:t>
      </w:r>
      <w:r w:rsidRPr="003E05D3">
        <w:t>года 11600 голов. В 2022 году валовой надой молока во всех категориях хозяйств ожидается 20000</w:t>
      </w:r>
      <w:r>
        <w:t xml:space="preserve"> </w:t>
      </w:r>
      <w:r w:rsidRPr="003E05D3">
        <w:t>тонн, производство на убой скота и птицы в живом весе ожидается 2900 тонн, снижение к уровню 2021 года на 2,7%.</w:t>
      </w:r>
      <w:r>
        <w:t xml:space="preserve"> С</w:t>
      </w:r>
      <w:r w:rsidRPr="00A8671A">
        <w:t>нижени</w:t>
      </w:r>
      <w:r>
        <w:t xml:space="preserve">е </w:t>
      </w:r>
      <w:r w:rsidRPr="003E05D3">
        <w:t>производств</w:t>
      </w:r>
      <w:r>
        <w:t>а</w:t>
      </w:r>
      <w:r w:rsidRPr="003E05D3">
        <w:t xml:space="preserve"> на убой скота и птицы в живом весе</w:t>
      </w:r>
      <w:r>
        <w:t xml:space="preserve"> ожидается по причине уменьшения поголовья скота в категории «хозяйства населения».</w:t>
      </w:r>
    </w:p>
    <w:p w:rsidR="00AB1A37" w:rsidRPr="003E05D3" w:rsidRDefault="00AB1A37" w:rsidP="00877241">
      <w:pPr>
        <w:spacing w:line="25" w:lineRule="atLeast"/>
        <w:ind w:left="-284" w:firstLine="426"/>
        <w:jc w:val="both"/>
      </w:pPr>
      <w:r>
        <w:t>П</w:t>
      </w:r>
      <w:r w:rsidRPr="003E05D3">
        <w:t>оголовь</w:t>
      </w:r>
      <w:r>
        <w:t>е</w:t>
      </w:r>
      <w:r w:rsidRPr="003E05D3">
        <w:t xml:space="preserve"> КРС</w:t>
      </w:r>
      <w:r>
        <w:t xml:space="preserve"> </w:t>
      </w:r>
      <w:r w:rsidRPr="003E05D3">
        <w:t xml:space="preserve">к 2025 году относительно уровня 2022 года </w:t>
      </w:r>
      <w:r>
        <w:t xml:space="preserve">прогнозируется </w:t>
      </w:r>
      <w:r w:rsidRPr="003E05D3">
        <w:t xml:space="preserve"> от </w:t>
      </w:r>
      <w:r w:rsidRPr="003211D0">
        <w:t>11550голов до 11600 голов</w:t>
      </w:r>
      <w:r>
        <w:t xml:space="preserve"> (по вариантам прогноза)</w:t>
      </w:r>
      <w:r w:rsidRPr="003211D0">
        <w:t>.</w:t>
      </w:r>
      <w:r w:rsidRPr="003E05D3">
        <w:t xml:space="preserve"> К 2025 году ожидается  незначительный рост валового </w:t>
      </w:r>
      <w:r w:rsidRPr="003E05D3">
        <w:lastRenderedPageBreak/>
        <w:t xml:space="preserve">надоя молока в хозяйствах всех категорий </w:t>
      </w:r>
      <w:r>
        <w:t>от 0,5%</w:t>
      </w:r>
      <w:r w:rsidRPr="003E05D3">
        <w:t xml:space="preserve"> до 1,0 %, производство на убой скота и птицы в живом весе от 1,0% до 2%  к уровню 2021 года.</w:t>
      </w:r>
    </w:p>
    <w:p w:rsidR="00AB1A37" w:rsidRPr="003E05D3" w:rsidRDefault="00AB1A37" w:rsidP="00877241">
      <w:pPr>
        <w:spacing w:line="25" w:lineRule="atLeast"/>
        <w:ind w:left="-284" w:firstLine="426"/>
        <w:jc w:val="center"/>
        <w:rPr>
          <w:b/>
          <w:sz w:val="28"/>
          <w:szCs w:val="28"/>
        </w:rPr>
      </w:pPr>
      <w:r w:rsidRPr="003E05D3">
        <w:rPr>
          <w:b/>
          <w:sz w:val="28"/>
          <w:szCs w:val="28"/>
        </w:rPr>
        <w:t>6. Инвестиции и строительство</w:t>
      </w:r>
    </w:p>
    <w:p w:rsidR="00AB1A37" w:rsidRPr="003E05D3" w:rsidRDefault="00AB1A37" w:rsidP="00877241">
      <w:pPr>
        <w:pStyle w:val="ab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5D3">
        <w:rPr>
          <w:rFonts w:ascii="Times New Roman" w:hAnsi="Times New Roman" w:cs="Times New Roman"/>
          <w:sz w:val="24"/>
          <w:szCs w:val="24"/>
        </w:rPr>
        <w:t xml:space="preserve">   </w:t>
      </w:r>
      <w:r w:rsidRPr="003E0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Эффективная инвестиционная деятельность предприятий является одной из важных составляющих экономического развития экономики Благовещенского района. </w:t>
      </w:r>
    </w:p>
    <w:p w:rsidR="00AB1A37" w:rsidRPr="003E05D3" w:rsidRDefault="00AB1A37" w:rsidP="00877241">
      <w:pPr>
        <w:pStyle w:val="ab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5D3">
        <w:rPr>
          <w:rFonts w:ascii="Times New Roman" w:hAnsi="Times New Roman" w:cs="Times New Roman"/>
          <w:sz w:val="24"/>
          <w:szCs w:val="24"/>
        </w:rPr>
        <w:t xml:space="preserve">       Экономически обоснованное вложение собственных и привлеченных ресурсов обеспечивает динамичное развитие предприятий, способствует повышению их финансовой устойчивости и стабильности. В свою очередь успешное функционирование предприятий обеспечивает стабильное поступление налоговых платежей в бюджеты различных уровней, поддержание социального развития путем предоставления рабочих мест, внедрение передовых технологий в производственный процесс. </w:t>
      </w:r>
    </w:p>
    <w:p w:rsidR="00AB1A37" w:rsidRPr="003E05D3" w:rsidRDefault="00AB1A37" w:rsidP="00877241">
      <w:pPr>
        <w:spacing w:line="25" w:lineRule="atLeast"/>
        <w:ind w:left="-284" w:firstLine="426"/>
        <w:jc w:val="both"/>
      </w:pPr>
      <w:r w:rsidRPr="003E05D3">
        <w:t>За 1 полугодие 2022</w:t>
      </w:r>
      <w:r>
        <w:t xml:space="preserve"> </w:t>
      </w:r>
      <w:r w:rsidRPr="003E05D3">
        <w:t>год</w:t>
      </w:r>
      <w:r>
        <w:t>а</w:t>
      </w:r>
      <w:r w:rsidRPr="003E05D3">
        <w:t xml:space="preserve"> объем инвестиций в основной капитал за счет всех источников финансирования по крупным и средним предприятиям составил 379,8 млн.</w:t>
      </w:r>
      <w:r>
        <w:t xml:space="preserve"> </w:t>
      </w:r>
      <w:r w:rsidRPr="003E05D3">
        <w:t xml:space="preserve">руб., объем инвестиций за счет всех источников финансирования к уровню 2021 году </w:t>
      </w:r>
      <w:r w:rsidRPr="007B650F">
        <w:t>составил 70,5</w:t>
      </w:r>
      <w:r w:rsidRPr="003E05D3">
        <w:t>%</w:t>
      </w:r>
      <w:r w:rsidRPr="003E05D3">
        <w:rPr>
          <w:b/>
        </w:rPr>
        <w:t xml:space="preserve">. </w:t>
      </w:r>
      <w:r w:rsidRPr="003E05D3">
        <w:t>Основные инвестиции направленны на строительство зданий и сооружений,  и приобретение оборудования.</w:t>
      </w:r>
    </w:p>
    <w:p w:rsidR="00AB1A37" w:rsidRPr="003E05D3" w:rsidRDefault="00AB1A37" w:rsidP="00877241">
      <w:pPr>
        <w:ind w:left="-284" w:firstLine="284"/>
        <w:jc w:val="both"/>
      </w:pPr>
      <w:r w:rsidRPr="003E05D3">
        <w:t>Для развития системы теплоснабжения, повышение надежности систем теплоснабжения и повышение энергетической эффективности систем теплоснабжения в Благовещенском районе разработаны и утверждены инвестиционные  программы в сфере теплоснабжения.  Инвестиций на прогнозируемый период 2023-2025 годы предусмотрено в размере 15,4 млн.</w:t>
      </w:r>
      <w:r>
        <w:t xml:space="preserve"> </w:t>
      </w:r>
      <w:r w:rsidRPr="003E05D3">
        <w:t>рублей. В 2022 году планируется произвести  инвестиционных вложений в сфере теплоснабжения на сумму 59 млн.</w:t>
      </w:r>
      <w:r>
        <w:t xml:space="preserve"> </w:t>
      </w:r>
      <w:r w:rsidRPr="003E05D3">
        <w:t>рублей.</w:t>
      </w:r>
    </w:p>
    <w:p w:rsidR="00AB1A37" w:rsidRPr="003E05D3" w:rsidRDefault="00AB1A37" w:rsidP="00877241">
      <w:pPr>
        <w:ind w:left="-284" w:firstLine="284"/>
        <w:jc w:val="both"/>
      </w:pPr>
      <w:r w:rsidRPr="003E05D3">
        <w:t xml:space="preserve">  На прогнозируемый период  объем инвестиций  по к</w:t>
      </w:r>
      <w:r>
        <w:t xml:space="preserve">рупным и средним предприятиям, </w:t>
      </w:r>
      <w:r w:rsidRPr="003E05D3">
        <w:t>относительно  уровня 2022года  к 2025году  ожидаются на уровне 96,7 – 101,8% . В этот период планируется завершение инвестиционного проекта строительство котельной ТЭЦ на ОАО «Кучуксульфат».</w:t>
      </w:r>
    </w:p>
    <w:p w:rsidR="00AB1A37" w:rsidRPr="003E05D3" w:rsidRDefault="00AB1A37" w:rsidP="00877241">
      <w:pPr>
        <w:spacing w:line="25" w:lineRule="atLeast"/>
        <w:ind w:left="-284"/>
        <w:jc w:val="both"/>
        <w:rPr>
          <w:b/>
          <w:sz w:val="28"/>
          <w:szCs w:val="28"/>
        </w:rPr>
      </w:pPr>
      <w:r w:rsidRPr="003E05D3">
        <w:t xml:space="preserve">       Большое внимание  уделяется материально-технического состоянию  здравоохранения, образования, объектов культуры, спорта.  </w:t>
      </w:r>
    </w:p>
    <w:p w:rsidR="00AB1A37" w:rsidRPr="003E05D3" w:rsidRDefault="00AB1A37" w:rsidP="00877241">
      <w:pPr>
        <w:spacing w:line="25" w:lineRule="atLeast"/>
        <w:ind w:left="-284" w:firstLine="425"/>
        <w:jc w:val="both"/>
        <w:rPr>
          <w:b/>
        </w:rPr>
      </w:pPr>
      <w:r w:rsidRPr="003E05D3">
        <w:t>Ввод жилья по Благовещенскому району в 2021 году составил 1955</w:t>
      </w:r>
      <w:r w:rsidRPr="003E05D3">
        <w:rPr>
          <w:color w:val="FF0000"/>
        </w:rPr>
        <w:t xml:space="preserve"> </w:t>
      </w:r>
      <w:r w:rsidRPr="003E05D3">
        <w:t>кв.</w:t>
      </w:r>
      <w:r>
        <w:t xml:space="preserve"> м. За </w:t>
      </w:r>
      <w:r w:rsidRPr="003E05D3">
        <w:t xml:space="preserve">2021 год было выдано 15 разрешений на строительство индивидуальных жилых домов, 24 разрешений на проведение реконструкции индивидуальных жилых домов. </w:t>
      </w:r>
      <w:r w:rsidRPr="003E05D3">
        <w:rPr>
          <w:color w:val="000000" w:themeColor="text1"/>
        </w:rPr>
        <w:t xml:space="preserve">В 2021 году  под строительство индивидуальных жилых домов выделено земельных участков общей площадью 2,5 га. В последнее время, благодаря возможности использовать материнский капитал для улучшения жилищных условий, строительство и реконструкция жилых домов ведется не только в городских поселениях р.п.Благовещенка и </w:t>
      </w:r>
      <w:proofErr w:type="spellStart"/>
      <w:r w:rsidRPr="003E05D3">
        <w:rPr>
          <w:color w:val="000000" w:themeColor="text1"/>
        </w:rPr>
        <w:t>р.п</w:t>
      </w:r>
      <w:proofErr w:type="spellEnd"/>
      <w:r w:rsidRPr="003E05D3">
        <w:rPr>
          <w:color w:val="000000" w:themeColor="text1"/>
        </w:rPr>
        <w:t>. Степное Озеро, но и в сельских поселениях района - с. Леньки, с. Орлеан, с.</w:t>
      </w:r>
      <w:r>
        <w:rPr>
          <w:color w:val="000000" w:themeColor="text1"/>
        </w:rPr>
        <w:t xml:space="preserve"> </w:t>
      </w:r>
      <w:r w:rsidRPr="003E05D3">
        <w:rPr>
          <w:color w:val="000000" w:themeColor="text1"/>
        </w:rPr>
        <w:t>Глядень. В соответствии с законом Алтайского края «О бесплатном предоставлении в собственность земельных участков для предоставления под строительство одноквартирных жилых домов многодетным семьям» на территории Благовещенского района в 2021 году выделено 18 земельных участков.</w:t>
      </w:r>
      <w:r w:rsidRPr="003E05D3">
        <w:rPr>
          <w:color w:val="FF0000"/>
        </w:rPr>
        <w:t xml:space="preserve"> </w:t>
      </w:r>
      <w:r w:rsidRPr="009B1823">
        <w:rPr>
          <w:color w:val="000000" w:themeColor="text1"/>
        </w:rPr>
        <w:t xml:space="preserve">В первом полугодии 2022 года ввод жилья составил </w:t>
      </w:r>
      <w:r>
        <w:rPr>
          <w:color w:val="000000" w:themeColor="text1"/>
        </w:rPr>
        <w:t xml:space="preserve">1250 кв. м, в целом за </w:t>
      </w:r>
      <w:r w:rsidRPr="003E05D3">
        <w:t xml:space="preserve"> 2022 год</w:t>
      </w:r>
      <w:r>
        <w:t xml:space="preserve"> ввод жилья оценивается  </w:t>
      </w:r>
      <w:r w:rsidRPr="003E05D3">
        <w:t xml:space="preserve"> 2000</w:t>
      </w:r>
      <w:r>
        <w:t xml:space="preserve"> </w:t>
      </w:r>
      <w:r w:rsidRPr="003E05D3">
        <w:t>м²</w:t>
      </w:r>
      <w:r>
        <w:t xml:space="preserve">. </w:t>
      </w:r>
      <w:r w:rsidRPr="003E05D3">
        <w:t>На прогнозируемый период</w:t>
      </w:r>
      <w:r>
        <w:t>,</w:t>
      </w:r>
      <w:r w:rsidRPr="003E05D3">
        <w:t xml:space="preserve">  </w:t>
      </w:r>
      <w:r>
        <w:t xml:space="preserve">к 2025 году </w:t>
      </w:r>
      <w:r w:rsidRPr="003E05D3">
        <w:t>ввод жилья</w:t>
      </w:r>
      <w:r>
        <w:t xml:space="preserve"> ожидается 2200-2300 </w:t>
      </w:r>
      <w:proofErr w:type="spellStart"/>
      <w:r>
        <w:t>кв.м</w:t>
      </w:r>
      <w:proofErr w:type="spellEnd"/>
      <w:r>
        <w:t xml:space="preserve"> (по вариантам прогноза),</w:t>
      </w:r>
      <w:r w:rsidRPr="003E05D3">
        <w:t xml:space="preserve"> за счет индивидуального сектора</w:t>
      </w:r>
      <w:r>
        <w:t>.</w:t>
      </w:r>
    </w:p>
    <w:p w:rsidR="00AB1A37" w:rsidRPr="003E05D3" w:rsidRDefault="00AB1A37" w:rsidP="00877241">
      <w:pPr>
        <w:pStyle w:val="ab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5D3">
        <w:rPr>
          <w:rFonts w:ascii="Times New Roman" w:hAnsi="Times New Roman" w:cs="Times New Roman"/>
          <w:sz w:val="24"/>
          <w:szCs w:val="24"/>
        </w:rPr>
        <w:t xml:space="preserve">    В 2021 году в эксплуатацию введены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05D3">
        <w:rPr>
          <w:rFonts w:ascii="Times New Roman" w:hAnsi="Times New Roman" w:cs="Times New Roman"/>
          <w:sz w:val="24"/>
          <w:szCs w:val="24"/>
        </w:rPr>
        <w:t xml:space="preserve"> </w:t>
      </w:r>
      <w:r w:rsidRPr="003E05D3">
        <w:rPr>
          <w:rFonts w:ascii="Times New Roman" w:hAnsi="Times New Roman"/>
          <w:sz w:val="24"/>
          <w:szCs w:val="24"/>
        </w:rPr>
        <w:t xml:space="preserve">мини-птицеферма, храм в </w:t>
      </w:r>
      <w:proofErr w:type="spellStart"/>
      <w:r w:rsidRPr="003E05D3">
        <w:rPr>
          <w:rFonts w:ascii="Times New Roman" w:hAnsi="Times New Roman"/>
          <w:sz w:val="24"/>
          <w:szCs w:val="24"/>
        </w:rPr>
        <w:t>р.п</w:t>
      </w:r>
      <w:proofErr w:type="spellEnd"/>
      <w:r w:rsidRPr="003E05D3">
        <w:rPr>
          <w:rFonts w:ascii="Times New Roman" w:hAnsi="Times New Roman"/>
          <w:sz w:val="24"/>
          <w:szCs w:val="24"/>
        </w:rPr>
        <w:t xml:space="preserve">. Степное Озеро, магазин смешанных товаров, теплый склад  сельхоз запчастей ООО «Леньковский Сельмашзавод», локально очистные сооружения производственных сточных вод ОАО «Кучуксульфат» блочно-модульная котельная по ул. </w:t>
      </w:r>
      <w:proofErr w:type="spellStart"/>
      <w:r w:rsidRPr="003E05D3">
        <w:rPr>
          <w:rFonts w:ascii="Times New Roman" w:hAnsi="Times New Roman"/>
          <w:sz w:val="24"/>
          <w:szCs w:val="24"/>
        </w:rPr>
        <w:t>Нефтебазовская</w:t>
      </w:r>
      <w:proofErr w:type="spellEnd"/>
      <w:r w:rsidRPr="003E05D3">
        <w:rPr>
          <w:rFonts w:ascii="Times New Roman" w:hAnsi="Times New Roman"/>
          <w:sz w:val="24"/>
          <w:szCs w:val="24"/>
        </w:rPr>
        <w:t>.</w:t>
      </w:r>
    </w:p>
    <w:p w:rsidR="00AB1A37" w:rsidRPr="003E05D3" w:rsidRDefault="00AB1A37" w:rsidP="00877241">
      <w:pPr>
        <w:ind w:left="-284"/>
        <w:contextualSpacing/>
        <w:jc w:val="both"/>
      </w:pPr>
      <w:r w:rsidRPr="003E05D3">
        <w:t xml:space="preserve">         В рамках региональной программы «Капитальный ремонт многоквартирных домов» в 2021 году отремонтировано 1 дом в </w:t>
      </w:r>
      <w:proofErr w:type="spellStart"/>
      <w:r w:rsidRPr="003E05D3">
        <w:t>р.п</w:t>
      </w:r>
      <w:proofErr w:type="spellEnd"/>
      <w:r w:rsidRPr="003E05D3">
        <w:t>.</w:t>
      </w:r>
      <w:r>
        <w:t xml:space="preserve"> </w:t>
      </w:r>
      <w:r w:rsidRPr="003E05D3">
        <w:t xml:space="preserve">Степное Озеро и 2 дома в </w:t>
      </w:r>
      <w:proofErr w:type="spellStart"/>
      <w:r w:rsidRPr="003E05D3">
        <w:t>р.п</w:t>
      </w:r>
      <w:proofErr w:type="spellEnd"/>
      <w:r w:rsidRPr="003E05D3">
        <w:t>. Благовещенка на общую сумму 11,5 млн. руб.</w:t>
      </w:r>
    </w:p>
    <w:p w:rsidR="00AB1A37" w:rsidRPr="003E05D3" w:rsidRDefault="00AB1A37" w:rsidP="00877241">
      <w:pPr>
        <w:spacing w:line="25" w:lineRule="atLeast"/>
        <w:ind w:left="-284" w:firstLine="425"/>
        <w:jc w:val="both"/>
        <w:rPr>
          <w:color w:val="000000" w:themeColor="text1"/>
        </w:rPr>
      </w:pPr>
      <w:r w:rsidRPr="003E05D3">
        <w:rPr>
          <w:color w:val="000000" w:themeColor="text1"/>
        </w:rPr>
        <w:t xml:space="preserve"> Объем работ, выполненных по виду деятельности «Строительство» по кругу крупных и средних организаций на среднесрочный период </w:t>
      </w:r>
      <w:r>
        <w:rPr>
          <w:color w:val="000000" w:themeColor="text1"/>
        </w:rPr>
        <w:t xml:space="preserve"> </w:t>
      </w:r>
      <w:r w:rsidRPr="00FF08A0">
        <w:rPr>
          <w:color w:val="000000" w:themeColor="text1"/>
        </w:rPr>
        <w:t>к</w:t>
      </w:r>
      <w:r>
        <w:rPr>
          <w:color w:val="000000" w:themeColor="text1"/>
        </w:rPr>
        <w:t xml:space="preserve"> </w:t>
      </w:r>
      <w:r w:rsidRPr="003E05D3">
        <w:rPr>
          <w:color w:val="000000" w:themeColor="text1"/>
        </w:rPr>
        <w:t>2025 год</w:t>
      </w:r>
      <w:r>
        <w:rPr>
          <w:color w:val="000000" w:themeColor="text1"/>
        </w:rPr>
        <w:t>у</w:t>
      </w:r>
      <w:r w:rsidRPr="003E05D3">
        <w:rPr>
          <w:color w:val="000000" w:themeColor="text1"/>
        </w:rPr>
        <w:t xml:space="preserve"> от 12,5 млн. руб. до 15,0 млн.</w:t>
      </w:r>
      <w:r>
        <w:rPr>
          <w:color w:val="000000" w:themeColor="text1"/>
        </w:rPr>
        <w:t xml:space="preserve"> </w:t>
      </w:r>
      <w:proofErr w:type="spellStart"/>
      <w:r w:rsidRPr="003E05D3">
        <w:rPr>
          <w:color w:val="000000" w:themeColor="text1"/>
        </w:rPr>
        <w:t>руб</w:t>
      </w:r>
      <w:proofErr w:type="spellEnd"/>
      <w:r>
        <w:rPr>
          <w:color w:val="000000" w:themeColor="text1"/>
        </w:rPr>
        <w:t xml:space="preserve"> </w:t>
      </w:r>
      <w:r w:rsidRPr="00FF08A0">
        <w:rPr>
          <w:color w:val="000000" w:themeColor="text1"/>
        </w:rPr>
        <w:t>(по вариантам прогноза).</w:t>
      </w:r>
    </w:p>
    <w:p w:rsidR="00AB1A37" w:rsidRPr="003E05D3" w:rsidRDefault="00AB1A37" w:rsidP="00877241">
      <w:pPr>
        <w:spacing w:line="25" w:lineRule="atLeast"/>
        <w:ind w:left="-284" w:firstLine="426"/>
        <w:jc w:val="center"/>
        <w:rPr>
          <w:b/>
          <w:sz w:val="28"/>
          <w:szCs w:val="28"/>
        </w:rPr>
      </w:pPr>
    </w:p>
    <w:p w:rsidR="00AB1A37" w:rsidRPr="003E05D3" w:rsidRDefault="00AB1A37" w:rsidP="00877241">
      <w:pPr>
        <w:spacing w:line="25" w:lineRule="atLeast"/>
        <w:ind w:left="-284" w:firstLine="426"/>
        <w:jc w:val="center"/>
        <w:rPr>
          <w:b/>
          <w:sz w:val="28"/>
          <w:szCs w:val="28"/>
        </w:rPr>
      </w:pPr>
      <w:r w:rsidRPr="003E05D3">
        <w:rPr>
          <w:b/>
          <w:sz w:val="28"/>
          <w:szCs w:val="28"/>
        </w:rPr>
        <w:t>7.Потребительский рынок</w:t>
      </w:r>
    </w:p>
    <w:p w:rsidR="00AB1A37" w:rsidRPr="003E05D3" w:rsidRDefault="00AB1A37" w:rsidP="00877241">
      <w:pPr>
        <w:spacing w:line="25" w:lineRule="atLeast"/>
        <w:ind w:left="-284"/>
        <w:jc w:val="both"/>
      </w:pPr>
      <w:r w:rsidRPr="003E05D3">
        <w:t xml:space="preserve">        Торговая сеть  района  представлена  275-мя предприятиями, осуществляющими деятельность по организации функционирования  потребительского рынка,  общая торговая  площадь составляет  33989 </w:t>
      </w:r>
      <w:proofErr w:type="spellStart"/>
      <w:r w:rsidRPr="003E05D3">
        <w:t>кв.м</w:t>
      </w:r>
      <w:proofErr w:type="spellEnd"/>
      <w:r w:rsidRPr="003E05D3">
        <w:t xml:space="preserve">. </w:t>
      </w:r>
    </w:p>
    <w:p w:rsidR="00AB1A37" w:rsidRPr="00416D53" w:rsidRDefault="00AB1A37" w:rsidP="00877241">
      <w:pPr>
        <w:spacing w:line="25" w:lineRule="atLeast"/>
        <w:ind w:left="-284"/>
        <w:jc w:val="both"/>
      </w:pPr>
      <w:r w:rsidRPr="003E05D3">
        <w:t xml:space="preserve">        Оборот розничной торговли (по крупным и средним организациям) за 2021 год составил 1689 млн.</w:t>
      </w:r>
      <w:r>
        <w:t xml:space="preserve"> </w:t>
      </w:r>
      <w:r w:rsidRPr="003E05D3">
        <w:t xml:space="preserve">рублей,  рост оборота розничной торговли относительно прошлого года составил </w:t>
      </w:r>
      <w:r>
        <w:t xml:space="preserve"> </w:t>
      </w:r>
      <w:r w:rsidRPr="00FF08A0">
        <w:t>109%</w:t>
      </w:r>
      <w:r w:rsidRPr="003E05D3">
        <w:t xml:space="preserve">. </w:t>
      </w:r>
      <w:r w:rsidRPr="00416D53">
        <w:t>Оборот розничной торговли на душу населения составил 62,4 тыс. рублей. Платных услуг населению оказано на сумму 358,4 млн. рублей. В настоящее время населению оказываются практически все виды бытовых услуг: парикмахерские услуги, ремонт и пошив одежды, ремонт обуви ремонт и обслуживание бытовой техники, техническое обслуживание транспортных средств, ремонт и изготовление мебели, ремонт и строительство жилья и другие. Всего объектов, оказывающих бытовые услуги населению  204 единиц.</w:t>
      </w:r>
    </w:p>
    <w:p w:rsidR="00AB1A37" w:rsidRPr="003E05D3" w:rsidRDefault="00AB1A37" w:rsidP="00877241">
      <w:pPr>
        <w:spacing w:line="25" w:lineRule="atLeast"/>
        <w:ind w:left="-284" w:firstLine="426"/>
        <w:jc w:val="both"/>
      </w:pPr>
      <w:r w:rsidRPr="00416D53">
        <w:t>За 1 полугодие текущего года по крупным и средним организациям розничный  товарооборот  составил 848,3 млн. рублей, темп роста  к соответствующему</w:t>
      </w:r>
      <w:r w:rsidRPr="003E05D3">
        <w:t xml:space="preserve"> периоду прошлого года составляет 108,3%.</w:t>
      </w:r>
    </w:p>
    <w:p w:rsidR="00AB1A37" w:rsidRPr="003E05D3" w:rsidRDefault="00AB1A37" w:rsidP="00877241">
      <w:pPr>
        <w:spacing w:line="25" w:lineRule="atLeast"/>
        <w:ind w:left="-284"/>
        <w:jc w:val="both"/>
      </w:pPr>
      <w:r w:rsidRPr="003E05D3">
        <w:t xml:space="preserve">     В 1 полугодии 2022 года  рост объем общественного питания к аналогичному периоду 2021 года составил 118,5%. Объём платных услуг населению также снизился на 6,4% к уровню прошлого года.</w:t>
      </w:r>
    </w:p>
    <w:p w:rsidR="00AB1A37" w:rsidRPr="003E05D3" w:rsidRDefault="00AB1A37" w:rsidP="00877241">
      <w:pPr>
        <w:pStyle w:val="12"/>
        <w:spacing w:after="24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5D3">
        <w:rPr>
          <w:rFonts w:ascii="Times New Roman" w:hAnsi="Times New Roman" w:cs="Times New Roman"/>
          <w:color w:val="000000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темп </w:t>
      </w:r>
      <w:r w:rsidRPr="003E05D3">
        <w:rPr>
          <w:rFonts w:ascii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0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5D3">
        <w:rPr>
          <w:rFonts w:ascii="Times New Roman" w:hAnsi="Times New Roman" w:cs="Times New Roman"/>
          <w:sz w:val="24"/>
          <w:szCs w:val="24"/>
        </w:rPr>
        <w:t xml:space="preserve">оборота  розничной торговли </w:t>
      </w:r>
      <w:r>
        <w:rPr>
          <w:rFonts w:ascii="Times New Roman" w:hAnsi="Times New Roman" w:cs="Times New Roman"/>
          <w:sz w:val="24"/>
          <w:szCs w:val="24"/>
        </w:rPr>
        <w:t>к уровню 2021 года</w:t>
      </w:r>
      <w:r w:rsidRPr="003E05D3">
        <w:rPr>
          <w:rFonts w:ascii="Times New Roman" w:hAnsi="Times New Roman" w:cs="Times New Roman"/>
          <w:sz w:val="24"/>
          <w:szCs w:val="24"/>
        </w:rPr>
        <w:t xml:space="preserve"> </w:t>
      </w:r>
      <w:r w:rsidRPr="003E05D3">
        <w:rPr>
          <w:rFonts w:ascii="Times New Roman" w:hAnsi="Times New Roman" w:cs="Times New Roman"/>
          <w:color w:val="000000"/>
          <w:sz w:val="24"/>
          <w:szCs w:val="24"/>
        </w:rPr>
        <w:t xml:space="preserve">ожидается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</w:t>
      </w:r>
      <w:r w:rsidRPr="009B1823">
        <w:rPr>
          <w:rFonts w:ascii="Times New Roman" w:hAnsi="Times New Roman" w:cs="Times New Roman"/>
          <w:color w:val="000000"/>
          <w:sz w:val="24"/>
          <w:szCs w:val="24"/>
        </w:rPr>
        <w:t>108%,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5D3">
        <w:rPr>
          <w:rFonts w:ascii="Times New Roman" w:hAnsi="Times New Roman" w:cs="Times New Roman"/>
          <w:sz w:val="24"/>
          <w:szCs w:val="24"/>
        </w:rPr>
        <w:t xml:space="preserve"> к 2025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5D3"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 xml:space="preserve"> темп </w:t>
      </w:r>
      <w:r w:rsidRPr="003E05D3">
        <w:rPr>
          <w:rFonts w:ascii="Times New Roman" w:hAnsi="Times New Roman" w:cs="Times New Roman"/>
          <w:sz w:val="24"/>
          <w:szCs w:val="24"/>
        </w:rPr>
        <w:t>рос</w:t>
      </w:r>
      <w:r w:rsidR="0061427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05D3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Pr="009B1823">
        <w:rPr>
          <w:rFonts w:ascii="Times New Roman" w:hAnsi="Times New Roman" w:cs="Times New Roman"/>
          <w:sz w:val="24"/>
          <w:szCs w:val="24"/>
        </w:rPr>
        <w:t>136%-139,2%</w:t>
      </w:r>
      <w:r w:rsidRPr="003E0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вариантам прогноза)</w:t>
      </w:r>
      <w:r w:rsidRPr="003E05D3">
        <w:rPr>
          <w:rFonts w:ascii="Times New Roman" w:hAnsi="Times New Roman" w:cs="Times New Roman"/>
          <w:sz w:val="24"/>
          <w:szCs w:val="24"/>
        </w:rPr>
        <w:t xml:space="preserve">. На прогнозируемый период ожидается увеличение доли площадей современных торговых форматов, обеспечивающих качественный уровень  предоставляемых торговых услуг для жителей района. Темп роста платных услуг на прогнозируемые 2023-2025 годы составят от 3% до 8%. В целом   развитие платных услуг  следует рассматривать как  этап качественных преобразований отрасли. Планируется увеличение услуг социального характера - здравоохранение, образование, культуры, физкультуры и спорта. Приоритетное направление получат  услуги в сфере туризма. Бытовые услуги  населению повысятся в связи с возможностью  учета предпринимателей  этой сферы бизнеса, услуги культуры - в связи с передачей   объектов паркового аттракциона  в  частную собственность и развитием  этой сферы услуг среди  субъектов малого предпринимательства.  </w:t>
      </w:r>
    </w:p>
    <w:p w:rsidR="00AB1A37" w:rsidRPr="003E05D3" w:rsidRDefault="00AB1A37" w:rsidP="00877241">
      <w:pPr>
        <w:spacing w:line="25" w:lineRule="atLeast"/>
        <w:ind w:left="-284" w:firstLine="426"/>
        <w:jc w:val="center"/>
        <w:rPr>
          <w:b/>
          <w:sz w:val="28"/>
          <w:szCs w:val="28"/>
        </w:rPr>
      </w:pPr>
      <w:r w:rsidRPr="003E05D3">
        <w:rPr>
          <w:b/>
          <w:sz w:val="28"/>
          <w:szCs w:val="28"/>
        </w:rPr>
        <w:t>8.Туризм</w:t>
      </w:r>
    </w:p>
    <w:p w:rsidR="00AB1A37" w:rsidRPr="003E05D3" w:rsidRDefault="00AB1A37" w:rsidP="00877241">
      <w:pPr>
        <w:spacing w:line="25" w:lineRule="atLeast"/>
        <w:ind w:left="-284" w:firstLine="426"/>
        <w:jc w:val="both"/>
      </w:pPr>
      <w:r w:rsidRPr="003E05D3">
        <w:t>В 2021 году количество    субъектов  оказывающих услуги по размещению туристов - 6 единиц, включающие в себя 3 гостиницы, базу отдыха «Кучук-Алтай» и 2 других организаций гостиничного типа. ООО «РТК Кучук» на базе отдыха  в настоящее время  оказывает круглогодичные и сезонные услуги. В связи с этим  ожидается  увеличение  количества туристов посещающих наш район. К 2025 году туристический поток должен составить 3700- 3800 человек в год</w:t>
      </w:r>
      <w:r>
        <w:t xml:space="preserve"> </w:t>
      </w:r>
      <w:r w:rsidRPr="00FF08A0">
        <w:t>(по вариантам прогноза).</w:t>
      </w:r>
    </w:p>
    <w:p w:rsidR="00AB1A37" w:rsidRPr="003E05D3" w:rsidRDefault="00AB1A37" w:rsidP="00877241">
      <w:pPr>
        <w:spacing w:line="25" w:lineRule="atLeast"/>
        <w:ind w:left="-284" w:firstLine="426"/>
        <w:jc w:val="center"/>
        <w:rPr>
          <w:b/>
          <w:sz w:val="28"/>
          <w:szCs w:val="28"/>
        </w:rPr>
      </w:pPr>
      <w:r w:rsidRPr="003E05D3">
        <w:rPr>
          <w:b/>
          <w:sz w:val="28"/>
          <w:szCs w:val="28"/>
        </w:rPr>
        <w:t>9.Бюджет</w:t>
      </w:r>
    </w:p>
    <w:p w:rsidR="00AB1A37" w:rsidRPr="003E05D3" w:rsidRDefault="00AB1A37" w:rsidP="00877241">
      <w:pPr>
        <w:pStyle w:val="a7"/>
        <w:spacing w:before="0" w:beforeAutospacing="0" w:after="0" w:afterAutospacing="0" w:line="25" w:lineRule="atLeast"/>
        <w:ind w:left="-284" w:firstLine="426"/>
        <w:jc w:val="both"/>
      </w:pPr>
      <w:r w:rsidRPr="003E05D3">
        <w:t>Районный бюджет за 2021 год по доходам исполнен на 98,5%, в том числе по собственным доходам план выполнен на 102,9%, темп роста по доходам бюджета района относительно периодом прошлого года составил 106,7%. Налоговые и неналоговые доходы составили 315,0 млн.</w:t>
      </w:r>
      <w:r>
        <w:t xml:space="preserve"> </w:t>
      </w:r>
      <w:r w:rsidRPr="003E05D3">
        <w:t xml:space="preserve">рублей, относительно уровня прошлого года собственные доходы снизились </w:t>
      </w:r>
      <w:r w:rsidRPr="003211D0">
        <w:t xml:space="preserve">на </w:t>
      </w:r>
      <w:r w:rsidRPr="00235DC6">
        <w:t>8,6</w:t>
      </w:r>
      <w:r w:rsidR="0046525B" w:rsidRPr="00235DC6">
        <w:t xml:space="preserve"> </w:t>
      </w:r>
      <w:bookmarkStart w:id="0" w:name="_GoBack"/>
      <w:bookmarkEnd w:id="0"/>
      <w:r w:rsidRPr="003211D0">
        <w:t>%</w:t>
      </w:r>
      <w:r>
        <w:t xml:space="preserve"> </w:t>
      </w:r>
      <w:r w:rsidRPr="003E05D3">
        <w:t xml:space="preserve">рублей. Неналоговые доходы и сборы относительно прошлого года снизились на </w:t>
      </w:r>
      <w:r w:rsidRPr="003211D0">
        <w:t xml:space="preserve">4,1%. </w:t>
      </w:r>
      <w:r w:rsidRPr="003E05D3">
        <w:t xml:space="preserve">При этом исполнение плана составило 102,7%. Кредиторская задолженность бюджета за 2021 год полностью отсутствует. В настоящее время работники бюджетной сферы имеют возможность получать заработную плату два раза в месяц. </w:t>
      </w:r>
    </w:p>
    <w:p w:rsidR="00AB1A37" w:rsidRPr="003E05D3" w:rsidRDefault="00AB1A37" w:rsidP="00877241">
      <w:pPr>
        <w:spacing w:line="25" w:lineRule="atLeast"/>
        <w:ind w:left="-284" w:firstLine="426"/>
      </w:pPr>
      <w:r w:rsidRPr="003E05D3">
        <w:lastRenderedPageBreak/>
        <w:t>За первое полугодие 2022г. всего доходов  получено 424,4 млн.рублей, собственные доходы составили 140,0 млн. руб., что составляет 44,5% от годового плана,  к уровню аналогичного периода прошлого года  объем  собственных доходов составляет 110%.</w:t>
      </w:r>
    </w:p>
    <w:p w:rsidR="00AB1A37" w:rsidRPr="003E05D3" w:rsidRDefault="00AB1A37" w:rsidP="00877241">
      <w:pPr>
        <w:pStyle w:val="a7"/>
        <w:spacing w:before="0" w:beforeAutospacing="0" w:after="0" w:afterAutospacing="0" w:line="276" w:lineRule="auto"/>
        <w:ind w:left="-284" w:firstLine="284"/>
        <w:jc w:val="both"/>
      </w:pPr>
      <w:r w:rsidRPr="003E05D3">
        <w:t>   Расходы  бюджета муниципального района за 2021 год исполнены  в сумме  849,9 млн. рублей, что выше расходов по сравнению с 2020 годом   на 57,8 млн. рублей.</w:t>
      </w:r>
    </w:p>
    <w:p w:rsidR="00AB1A37" w:rsidRPr="003E05D3" w:rsidRDefault="00AB1A37" w:rsidP="00877241">
      <w:pPr>
        <w:pStyle w:val="a7"/>
        <w:spacing w:before="0" w:beforeAutospacing="0" w:after="0" w:afterAutospacing="0" w:line="276" w:lineRule="auto"/>
        <w:ind w:left="-284" w:firstLine="284"/>
        <w:jc w:val="both"/>
      </w:pPr>
      <w:r w:rsidRPr="003E05D3">
        <w:t>   Из исполнения бюджета по отраслям видна его социальная направленность. Данное вложение финансовых ресурсов сказывается и на повышении качества предоставляемых услуг учреждениями социальной сферы.</w:t>
      </w:r>
    </w:p>
    <w:p w:rsidR="00AB1A37" w:rsidRPr="003E05D3" w:rsidRDefault="00AB1A37" w:rsidP="00877241">
      <w:pPr>
        <w:pStyle w:val="a7"/>
        <w:spacing w:before="0" w:beforeAutospacing="0" w:after="0" w:afterAutospacing="0" w:line="276" w:lineRule="auto"/>
        <w:ind w:left="-284" w:firstLine="284"/>
        <w:jc w:val="both"/>
      </w:pPr>
      <w:r w:rsidRPr="003E05D3">
        <w:t>   На 2021 год районный бюджет  был  сформирован, как и прежде, в программной структуре расходов. Удельный вес расходов на социально-культурную сферу составляет 67,2 % и 32,8% приходится на другие отрасли.</w:t>
      </w:r>
    </w:p>
    <w:p w:rsidR="00AB1A37" w:rsidRPr="003E05D3" w:rsidRDefault="00AB1A37" w:rsidP="00877241">
      <w:pPr>
        <w:pStyle w:val="12"/>
        <w:spacing w:after="240" w:line="276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5D3">
        <w:rPr>
          <w:rFonts w:ascii="Times New Roman" w:hAnsi="Times New Roman" w:cs="Times New Roman"/>
          <w:sz w:val="24"/>
          <w:szCs w:val="24"/>
        </w:rPr>
        <w:t xml:space="preserve">В 2022 году ожидается сокращение налоговых доходов за счет сокращения поступления в бюджет налога на доходы физических лиц. </w:t>
      </w:r>
      <w:r w:rsidRPr="003E05D3">
        <w:rPr>
          <w:rFonts w:ascii="Times New Roman" w:hAnsi="Times New Roman" w:cs="Times New Roman"/>
          <w:color w:val="000000"/>
          <w:sz w:val="24"/>
          <w:szCs w:val="24"/>
        </w:rPr>
        <w:t>К 2025 году ожидается рост</w:t>
      </w:r>
      <w:r w:rsidRPr="003E05D3">
        <w:rPr>
          <w:sz w:val="24"/>
          <w:szCs w:val="24"/>
        </w:rPr>
        <w:t xml:space="preserve"> </w:t>
      </w:r>
      <w:r w:rsidRPr="003E05D3">
        <w:rPr>
          <w:rFonts w:ascii="Times New Roman" w:hAnsi="Times New Roman" w:cs="Times New Roman"/>
          <w:sz w:val="24"/>
          <w:szCs w:val="24"/>
        </w:rPr>
        <w:t xml:space="preserve">объема налоговых доходов </w:t>
      </w:r>
      <w:r w:rsidRPr="003E05D3">
        <w:rPr>
          <w:rFonts w:ascii="Times New Roman" w:hAnsi="Times New Roman" w:cs="Times New Roman"/>
          <w:color w:val="000000"/>
          <w:sz w:val="24"/>
          <w:szCs w:val="24"/>
        </w:rPr>
        <w:t>от 104,7% до 104,9 к уровню 2022 года</w:t>
      </w:r>
      <w:r w:rsidRPr="003E05D3">
        <w:rPr>
          <w:rFonts w:ascii="Times New Roman" w:hAnsi="Times New Roman" w:cs="Times New Roman"/>
          <w:sz w:val="24"/>
          <w:szCs w:val="24"/>
        </w:rPr>
        <w:t>. Уровень поступления неналоговых доходов  и сборов в период 2023-2025 годы сохранятся на уровне поступлений 2022 года. На прогнозируемый период расходы сохра</w:t>
      </w:r>
      <w:r>
        <w:rPr>
          <w:rFonts w:ascii="Times New Roman" w:hAnsi="Times New Roman" w:cs="Times New Roman"/>
          <w:sz w:val="24"/>
          <w:szCs w:val="24"/>
        </w:rPr>
        <w:t>няют социальную направленность,</w:t>
      </w:r>
      <w:r w:rsidRPr="003E05D3">
        <w:rPr>
          <w:rFonts w:ascii="Times New Roman" w:hAnsi="Times New Roman" w:cs="Times New Roman"/>
          <w:sz w:val="24"/>
          <w:szCs w:val="24"/>
        </w:rPr>
        <w:t xml:space="preserve"> и удельный вес расходов на социально-культурную сферу в 202</w:t>
      </w:r>
      <w:r>
        <w:rPr>
          <w:rFonts w:ascii="Times New Roman" w:hAnsi="Times New Roman" w:cs="Times New Roman"/>
          <w:sz w:val="24"/>
          <w:szCs w:val="24"/>
        </w:rPr>
        <w:t>5 году составят более 73</w:t>
      </w:r>
      <w:r w:rsidRPr="003E05D3">
        <w:rPr>
          <w:rFonts w:ascii="Times New Roman" w:hAnsi="Times New Roman" w:cs="Times New Roman"/>
          <w:sz w:val="24"/>
          <w:szCs w:val="24"/>
        </w:rPr>
        <w:t>%.</w:t>
      </w:r>
    </w:p>
    <w:p w:rsidR="00AB1A37" w:rsidRPr="003E05D3" w:rsidRDefault="00AB1A37" w:rsidP="00877241">
      <w:pPr>
        <w:pStyle w:val="22"/>
        <w:spacing w:before="120" w:line="25" w:lineRule="atLeast"/>
        <w:ind w:left="-284" w:firstLine="426"/>
        <w:rPr>
          <w:b/>
          <w:sz w:val="24"/>
          <w:szCs w:val="24"/>
        </w:rPr>
      </w:pPr>
      <w:r w:rsidRPr="003E05D3">
        <w:rPr>
          <w:b/>
          <w:szCs w:val="28"/>
        </w:rPr>
        <w:t>10.Перечень основных  проблемных вопросов, сдерживающих социально-экономическое развитие муниципального района</w:t>
      </w:r>
      <w:r w:rsidRPr="003E05D3">
        <w:rPr>
          <w:b/>
          <w:sz w:val="24"/>
          <w:szCs w:val="24"/>
        </w:rPr>
        <w:t>:</w:t>
      </w:r>
    </w:p>
    <w:p w:rsidR="00AB1A37" w:rsidRPr="003E05D3" w:rsidRDefault="00AB1A37" w:rsidP="00877241">
      <w:pPr>
        <w:pStyle w:val="aa"/>
        <w:numPr>
          <w:ilvl w:val="0"/>
          <w:numId w:val="2"/>
        </w:numPr>
        <w:spacing w:line="25" w:lineRule="atLeast"/>
        <w:ind w:left="-284" w:firstLine="426"/>
      </w:pPr>
      <w:r w:rsidRPr="003E05D3">
        <w:t>напряженная  демографическая ситуация;</w:t>
      </w:r>
    </w:p>
    <w:p w:rsidR="00AB1A37" w:rsidRPr="003E05D3" w:rsidRDefault="00AB1A37" w:rsidP="00877241">
      <w:pPr>
        <w:pStyle w:val="aa"/>
        <w:numPr>
          <w:ilvl w:val="0"/>
          <w:numId w:val="2"/>
        </w:numPr>
        <w:shd w:val="clear" w:color="auto" w:fill="FFFFFF"/>
        <w:spacing w:line="25" w:lineRule="atLeast"/>
        <w:ind w:left="-284" w:firstLine="425"/>
        <w:jc w:val="both"/>
      </w:pPr>
      <w:r w:rsidRPr="003E05D3">
        <w:t xml:space="preserve"> низкий уровень </w:t>
      </w:r>
      <w:r w:rsidRPr="003E05D3">
        <w:rPr>
          <w:spacing w:val="-24"/>
        </w:rPr>
        <w:t xml:space="preserve"> </w:t>
      </w:r>
      <w:r w:rsidRPr="003E05D3">
        <w:rPr>
          <w:spacing w:val="-1"/>
        </w:rPr>
        <w:t>заработной платы наемных  работников</w:t>
      </w:r>
      <w:r w:rsidRPr="003E05D3">
        <w:t xml:space="preserve">    субъектов  малого   бизнеса</w:t>
      </w:r>
      <w:r w:rsidRPr="003E05D3">
        <w:rPr>
          <w:spacing w:val="-1"/>
        </w:rPr>
        <w:t xml:space="preserve">,  текучесть кадров, нехватка на предприятиях квалифицированных рабочих кадров. </w:t>
      </w:r>
      <w:r w:rsidRPr="003E05D3">
        <w:t xml:space="preserve"> В отраслевой структуре малого бизнеса доминирует непроизводственная сфера  деятельности – розничная торговля,  оказание бытовых  услуг. Требуется расширение присутствия малого бизнеса  в производственной  сфере и  развитии туризма   в районе;</w:t>
      </w:r>
    </w:p>
    <w:p w:rsidR="00AB1A37" w:rsidRPr="003E05D3" w:rsidRDefault="00AB1A37" w:rsidP="00877241">
      <w:pPr>
        <w:pStyle w:val="aa"/>
        <w:numPr>
          <w:ilvl w:val="0"/>
          <w:numId w:val="2"/>
        </w:numPr>
        <w:spacing w:line="25" w:lineRule="atLeast"/>
        <w:ind w:left="-284" w:firstLine="425"/>
        <w:jc w:val="both"/>
      </w:pPr>
      <w:r w:rsidRPr="003E05D3">
        <w:t>сохраняется высокий уровень безработицы на селе, структура безработицы характеризуется высокой долей молодежи;</w:t>
      </w:r>
    </w:p>
    <w:p w:rsidR="00AB1A37" w:rsidRPr="003E05D3" w:rsidRDefault="00AB1A37" w:rsidP="00877241">
      <w:pPr>
        <w:pStyle w:val="aa"/>
        <w:numPr>
          <w:ilvl w:val="0"/>
          <w:numId w:val="2"/>
        </w:numPr>
        <w:spacing w:line="25" w:lineRule="atLeast"/>
        <w:ind w:left="-284" w:firstLine="425"/>
        <w:jc w:val="both"/>
      </w:pPr>
      <w:r w:rsidRPr="003E05D3">
        <w:t xml:space="preserve">сохраняется высокий уровень заболеваемости по ряду заболеваний и общей смертности населения; </w:t>
      </w:r>
    </w:p>
    <w:p w:rsidR="00AB1A37" w:rsidRPr="003E05D3" w:rsidRDefault="00AB1A37" w:rsidP="00877241">
      <w:pPr>
        <w:pStyle w:val="aa"/>
        <w:numPr>
          <w:ilvl w:val="0"/>
          <w:numId w:val="2"/>
        </w:numPr>
        <w:spacing w:line="25" w:lineRule="atLeast"/>
        <w:ind w:left="-284" w:firstLine="426"/>
      </w:pPr>
      <w:r w:rsidRPr="003E05D3">
        <w:t>проблема укомплектованности лечебных учреждений медперсоналом и его обучения;</w:t>
      </w:r>
    </w:p>
    <w:p w:rsidR="00AB1A37" w:rsidRPr="003E05D3" w:rsidRDefault="00AB1A37" w:rsidP="00877241">
      <w:pPr>
        <w:pStyle w:val="aa"/>
        <w:numPr>
          <w:ilvl w:val="0"/>
          <w:numId w:val="2"/>
        </w:numPr>
        <w:spacing w:line="25" w:lineRule="atLeast"/>
        <w:ind w:left="-284" w:firstLine="426"/>
      </w:pPr>
      <w:r w:rsidRPr="003E05D3">
        <w:t>высокий износ основных фондов в жилищно-коммунальном хозяйстве, недостаток инвестиций на их обновление;</w:t>
      </w:r>
    </w:p>
    <w:p w:rsidR="00AB1A37" w:rsidRPr="003E05D3" w:rsidRDefault="00AB1A37" w:rsidP="00877241">
      <w:pPr>
        <w:pStyle w:val="aa"/>
        <w:numPr>
          <w:ilvl w:val="0"/>
          <w:numId w:val="2"/>
        </w:numPr>
        <w:spacing w:line="25" w:lineRule="atLeast"/>
        <w:ind w:left="-284" w:firstLine="426"/>
      </w:pPr>
      <w:r w:rsidRPr="003E05D3">
        <w:t>недостаточная доступность кредитных ресурсов инвестиционного характера для субъектов малого и среднего предпринимательства.</w:t>
      </w:r>
    </w:p>
    <w:sectPr w:rsidR="00AB1A37" w:rsidRPr="003E05D3" w:rsidSect="00AB1A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25" w:rsidRDefault="00E12025" w:rsidP="009E0C1E">
      <w:r>
        <w:separator/>
      </w:r>
    </w:p>
  </w:endnote>
  <w:endnote w:type="continuationSeparator" w:id="0">
    <w:p w:rsidR="00E12025" w:rsidRDefault="00E12025" w:rsidP="009E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25" w:rsidRDefault="00E12025" w:rsidP="009E0C1E">
      <w:r>
        <w:separator/>
      </w:r>
    </w:p>
  </w:footnote>
  <w:footnote w:type="continuationSeparator" w:id="0">
    <w:p w:rsidR="00E12025" w:rsidRDefault="00E12025" w:rsidP="009E0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EA5"/>
    <w:multiLevelType w:val="hybridMultilevel"/>
    <w:tmpl w:val="ED6A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1392B"/>
    <w:multiLevelType w:val="hybridMultilevel"/>
    <w:tmpl w:val="AC12DCD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6C"/>
    <w:rsid w:val="00000DD1"/>
    <w:rsid w:val="0000389D"/>
    <w:rsid w:val="00006060"/>
    <w:rsid w:val="00011390"/>
    <w:rsid w:val="00014EFA"/>
    <w:rsid w:val="00015FA6"/>
    <w:rsid w:val="00020C5E"/>
    <w:rsid w:val="00022E79"/>
    <w:rsid w:val="00024311"/>
    <w:rsid w:val="00025992"/>
    <w:rsid w:val="00025D85"/>
    <w:rsid w:val="00033A0C"/>
    <w:rsid w:val="0003790A"/>
    <w:rsid w:val="0004778A"/>
    <w:rsid w:val="000536D3"/>
    <w:rsid w:val="000538B2"/>
    <w:rsid w:val="000570D3"/>
    <w:rsid w:val="00062439"/>
    <w:rsid w:val="00062C24"/>
    <w:rsid w:val="0006411B"/>
    <w:rsid w:val="000663E0"/>
    <w:rsid w:val="00073837"/>
    <w:rsid w:val="000756D8"/>
    <w:rsid w:val="00085B53"/>
    <w:rsid w:val="00091184"/>
    <w:rsid w:val="00091938"/>
    <w:rsid w:val="000A0EAB"/>
    <w:rsid w:val="000A5BAE"/>
    <w:rsid w:val="000B039B"/>
    <w:rsid w:val="000B2E06"/>
    <w:rsid w:val="000B35B5"/>
    <w:rsid w:val="000B4501"/>
    <w:rsid w:val="000B5A01"/>
    <w:rsid w:val="000B5DC1"/>
    <w:rsid w:val="000C4EB7"/>
    <w:rsid w:val="000C6A62"/>
    <w:rsid w:val="000D049B"/>
    <w:rsid w:val="000D203D"/>
    <w:rsid w:val="000D591B"/>
    <w:rsid w:val="000D64C2"/>
    <w:rsid w:val="000D7609"/>
    <w:rsid w:val="000D7631"/>
    <w:rsid w:val="000E5602"/>
    <w:rsid w:val="001014AC"/>
    <w:rsid w:val="001064D2"/>
    <w:rsid w:val="00107203"/>
    <w:rsid w:val="00107290"/>
    <w:rsid w:val="00120A41"/>
    <w:rsid w:val="00125FAB"/>
    <w:rsid w:val="0013391A"/>
    <w:rsid w:val="00135A96"/>
    <w:rsid w:val="00135E3C"/>
    <w:rsid w:val="00136243"/>
    <w:rsid w:val="0014032A"/>
    <w:rsid w:val="00142472"/>
    <w:rsid w:val="0014567F"/>
    <w:rsid w:val="00146C0D"/>
    <w:rsid w:val="001522FC"/>
    <w:rsid w:val="001545E0"/>
    <w:rsid w:val="00154655"/>
    <w:rsid w:val="00157DE9"/>
    <w:rsid w:val="0016265D"/>
    <w:rsid w:val="0016521F"/>
    <w:rsid w:val="00175369"/>
    <w:rsid w:val="00176450"/>
    <w:rsid w:val="00177BC9"/>
    <w:rsid w:val="0018074B"/>
    <w:rsid w:val="00182F10"/>
    <w:rsid w:val="0018502D"/>
    <w:rsid w:val="00190436"/>
    <w:rsid w:val="00191D07"/>
    <w:rsid w:val="0019637C"/>
    <w:rsid w:val="001A01BB"/>
    <w:rsid w:val="001A56BE"/>
    <w:rsid w:val="001B11B3"/>
    <w:rsid w:val="001B4635"/>
    <w:rsid w:val="001C1B11"/>
    <w:rsid w:val="001C3F0C"/>
    <w:rsid w:val="001C46D4"/>
    <w:rsid w:val="001C4ED8"/>
    <w:rsid w:val="001D5356"/>
    <w:rsid w:val="001D72C5"/>
    <w:rsid w:val="001E2BB5"/>
    <w:rsid w:val="001E2C81"/>
    <w:rsid w:val="001E333C"/>
    <w:rsid w:val="001F0442"/>
    <w:rsid w:val="001F09ED"/>
    <w:rsid w:val="001F0B62"/>
    <w:rsid w:val="001F2891"/>
    <w:rsid w:val="001F2A82"/>
    <w:rsid w:val="001F5045"/>
    <w:rsid w:val="001F7A9F"/>
    <w:rsid w:val="00201F85"/>
    <w:rsid w:val="00207129"/>
    <w:rsid w:val="002144EA"/>
    <w:rsid w:val="002312BB"/>
    <w:rsid w:val="00232FEB"/>
    <w:rsid w:val="00235DC6"/>
    <w:rsid w:val="0024032C"/>
    <w:rsid w:val="00251980"/>
    <w:rsid w:val="0025645C"/>
    <w:rsid w:val="00266D14"/>
    <w:rsid w:val="00267EEA"/>
    <w:rsid w:val="00270351"/>
    <w:rsid w:val="00275909"/>
    <w:rsid w:val="00277191"/>
    <w:rsid w:val="00283DA0"/>
    <w:rsid w:val="00287D9A"/>
    <w:rsid w:val="00291234"/>
    <w:rsid w:val="00291D0B"/>
    <w:rsid w:val="00293173"/>
    <w:rsid w:val="00293B56"/>
    <w:rsid w:val="00296F1A"/>
    <w:rsid w:val="002A2BEF"/>
    <w:rsid w:val="002A5C7A"/>
    <w:rsid w:val="002A6576"/>
    <w:rsid w:val="002A65ED"/>
    <w:rsid w:val="002B6E14"/>
    <w:rsid w:val="002C4829"/>
    <w:rsid w:val="002E0263"/>
    <w:rsid w:val="002E29B7"/>
    <w:rsid w:val="002E722E"/>
    <w:rsid w:val="002F0991"/>
    <w:rsid w:val="00301D58"/>
    <w:rsid w:val="00302BB0"/>
    <w:rsid w:val="00305A35"/>
    <w:rsid w:val="00307954"/>
    <w:rsid w:val="00311F63"/>
    <w:rsid w:val="003137CB"/>
    <w:rsid w:val="003203D1"/>
    <w:rsid w:val="003211D0"/>
    <w:rsid w:val="003219B1"/>
    <w:rsid w:val="00327B2D"/>
    <w:rsid w:val="00327C55"/>
    <w:rsid w:val="00333A22"/>
    <w:rsid w:val="00337A48"/>
    <w:rsid w:val="00341407"/>
    <w:rsid w:val="00343582"/>
    <w:rsid w:val="00346A4F"/>
    <w:rsid w:val="00353D64"/>
    <w:rsid w:val="00354E83"/>
    <w:rsid w:val="00356A1A"/>
    <w:rsid w:val="0035778E"/>
    <w:rsid w:val="00357C47"/>
    <w:rsid w:val="0036162C"/>
    <w:rsid w:val="00366D69"/>
    <w:rsid w:val="00370A1F"/>
    <w:rsid w:val="003711F2"/>
    <w:rsid w:val="00373818"/>
    <w:rsid w:val="00374D3F"/>
    <w:rsid w:val="00375CA8"/>
    <w:rsid w:val="00383D22"/>
    <w:rsid w:val="0038437B"/>
    <w:rsid w:val="003858A5"/>
    <w:rsid w:val="0038774B"/>
    <w:rsid w:val="00391E4B"/>
    <w:rsid w:val="00397A3D"/>
    <w:rsid w:val="003A6F6B"/>
    <w:rsid w:val="003A71F4"/>
    <w:rsid w:val="003A73DC"/>
    <w:rsid w:val="003B32DF"/>
    <w:rsid w:val="003B44D5"/>
    <w:rsid w:val="003B457E"/>
    <w:rsid w:val="003C0EDC"/>
    <w:rsid w:val="003C1F12"/>
    <w:rsid w:val="003C4CB6"/>
    <w:rsid w:val="003D2CDA"/>
    <w:rsid w:val="003D4FF1"/>
    <w:rsid w:val="003D5581"/>
    <w:rsid w:val="003E05D3"/>
    <w:rsid w:val="003F039F"/>
    <w:rsid w:val="003F202F"/>
    <w:rsid w:val="003F3B99"/>
    <w:rsid w:val="003F52EF"/>
    <w:rsid w:val="003F6171"/>
    <w:rsid w:val="00401C55"/>
    <w:rsid w:val="004032A5"/>
    <w:rsid w:val="004037CE"/>
    <w:rsid w:val="00404CE5"/>
    <w:rsid w:val="00406B7F"/>
    <w:rsid w:val="004114EE"/>
    <w:rsid w:val="0041170A"/>
    <w:rsid w:val="0041213B"/>
    <w:rsid w:val="004139F9"/>
    <w:rsid w:val="00416D53"/>
    <w:rsid w:val="0042321B"/>
    <w:rsid w:val="00425EB8"/>
    <w:rsid w:val="0043561B"/>
    <w:rsid w:val="00441273"/>
    <w:rsid w:val="00441EB5"/>
    <w:rsid w:val="0044400B"/>
    <w:rsid w:val="00447B23"/>
    <w:rsid w:val="00451B75"/>
    <w:rsid w:val="00452C75"/>
    <w:rsid w:val="004550C0"/>
    <w:rsid w:val="00455924"/>
    <w:rsid w:val="00455F01"/>
    <w:rsid w:val="0045775A"/>
    <w:rsid w:val="0046025B"/>
    <w:rsid w:val="00461245"/>
    <w:rsid w:val="00464377"/>
    <w:rsid w:val="0046439A"/>
    <w:rsid w:val="0046525B"/>
    <w:rsid w:val="004660F1"/>
    <w:rsid w:val="00467928"/>
    <w:rsid w:val="00470737"/>
    <w:rsid w:val="00471F91"/>
    <w:rsid w:val="00477891"/>
    <w:rsid w:val="00480FF9"/>
    <w:rsid w:val="004814F6"/>
    <w:rsid w:val="004839B0"/>
    <w:rsid w:val="0048497E"/>
    <w:rsid w:val="004849C1"/>
    <w:rsid w:val="00485635"/>
    <w:rsid w:val="00490B0A"/>
    <w:rsid w:val="004919A1"/>
    <w:rsid w:val="0049326C"/>
    <w:rsid w:val="00495BA1"/>
    <w:rsid w:val="004A0CD0"/>
    <w:rsid w:val="004A4BF0"/>
    <w:rsid w:val="004A7D98"/>
    <w:rsid w:val="004B0948"/>
    <w:rsid w:val="004B2879"/>
    <w:rsid w:val="004B29F5"/>
    <w:rsid w:val="004B3F41"/>
    <w:rsid w:val="004B703C"/>
    <w:rsid w:val="004B729D"/>
    <w:rsid w:val="004C06D6"/>
    <w:rsid w:val="004C0F92"/>
    <w:rsid w:val="004C1D7C"/>
    <w:rsid w:val="004C5D51"/>
    <w:rsid w:val="004D1B08"/>
    <w:rsid w:val="004D349A"/>
    <w:rsid w:val="004D47E6"/>
    <w:rsid w:val="004D7730"/>
    <w:rsid w:val="004F0263"/>
    <w:rsid w:val="0050261B"/>
    <w:rsid w:val="00507BF4"/>
    <w:rsid w:val="00507F69"/>
    <w:rsid w:val="005100B2"/>
    <w:rsid w:val="00517FB2"/>
    <w:rsid w:val="005233B8"/>
    <w:rsid w:val="0052655E"/>
    <w:rsid w:val="005318F8"/>
    <w:rsid w:val="00536FC2"/>
    <w:rsid w:val="00543EAD"/>
    <w:rsid w:val="005462E7"/>
    <w:rsid w:val="00550ADE"/>
    <w:rsid w:val="005535D7"/>
    <w:rsid w:val="00556590"/>
    <w:rsid w:val="0056320F"/>
    <w:rsid w:val="0056744F"/>
    <w:rsid w:val="00572A40"/>
    <w:rsid w:val="00575A1D"/>
    <w:rsid w:val="00581E62"/>
    <w:rsid w:val="0058460A"/>
    <w:rsid w:val="00587747"/>
    <w:rsid w:val="00592BDA"/>
    <w:rsid w:val="005932F6"/>
    <w:rsid w:val="00595564"/>
    <w:rsid w:val="0059667D"/>
    <w:rsid w:val="005A456C"/>
    <w:rsid w:val="005A5EDB"/>
    <w:rsid w:val="005B018B"/>
    <w:rsid w:val="005B2698"/>
    <w:rsid w:val="005C01A0"/>
    <w:rsid w:val="005C678B"/>
    <w:rsid w:val="005D253A"/>
    <w:rsid w:val="005D4720"/>
    <w:rsid w:val="005E2C82"/>
    <w:rsid w:val="005E5505"/>
    <w:rsid w:val="005E59AB"/>
    <w:rsid w:val="005F5BDA"/>
    <w:rsid w:val="005F6394"/>
    <w:rsid w:val="005F7A02"/>
    <w:rsid w:val="00601760"/>
    <w:rsid w:val="006043EB"/>
    <w:rsid w:val="0060587F"/>
    <w:rsid w:val="00606ACC"/>
    <w:rsid w:val="00611CAB"/>
    <w:rsid w:val="006139CC"/>
    <w:rsid w:val="00613B96"/>
    <w:rsid w:val="00614273"/>
    <w:rsid w:val="006162A7"/>
    <w:rsid w:val="00621268"/>
    <w:rsid w:val="00622353"/>
    <w:rsid w:val="006323C2"/>
    <w:rsid w:val="00645F82"/>
    <w:rsid w:val="00646F7A"/>
    <w:rsid w:val="00661D43"/>
    <w:rsid w:val="006630A2"/>
    <w:rsid w:val="00672989"/>
    <w:rsid w:val="00675297"/>
    <w:rsid w:val="0067764C"/>
    <w:rsid w:val="00677BDE"/>
    <w:rsid w:val="00684168"/>
    <w:rsid w:val="0068426D"/>
    <w:rsid w:val="00687B30"/>
    <w:rsid w:val="0069204F"/>
    <w:rsid w:val="006928F8"/>
    <w:rsid w:val="00695A2A"/>
    <w:rsid w:val="00696E0A"/>
    <w:rsid w:val="0069726D"/>
    <w:rsid w:val="006A1E45"/>
    <w:rsid w:val="006A2C80"/>
    <w:rsid w:val="006A2E87"/>
    <w:rsid w:val="006A35B9"/>
    <w:rsid w:val="006A6807"/>
    <w:rsid w:val="006B0DC8"/>
    <w:rsid w:val="006B1710"/>
    <w:rsid w:val="006B46A5"/>
    <w:rsid w:val="006B5198"/>
    <w:rsid w:val="006B55AF"/>
    <w:rsid w:val="006B5F88"/>
    <w:rsid w:val="006C1BBD"/>
    <w:rsid w:val="006C65FD"/>
    <w:rsid w:val="006D17BB"/>
    <w:rsid w:val="006D3D94"/>
    <w:rsid w:val="006E53FD"/>
    <w:rsid w:val="006E70D6"/>
    <w:rsid w:val="006F2D41"/>
    <w:rsid w:val="006F3A91"/>
    <w:rsid w:val="007128D6"/>
    <w:rsid w:val="00716BB4"/>
    <w:rsid w:val="00725CC9"/>
    <w:rsid w:val="00730D2D"/>
    <w:rsid w:val="007371DF"/>
    <w:rsid w:val="00737D6A"/>
    <w:rsid w:val="007476CC"/>
    <w:rsid w:val="00752486"/>
    <w:rsid w:val="00753576"/>
    <w:rsid w:val="0075766E"/>
    <w:rsid w:val="0076315D"/>
    <w:rsid w:val="007634B1"/>
    <w:rsid w:val="00763F9B"/>
    <w:rsid w:val="007664B5"/>
    <w:rsid w:val="0077657B"/>
    <w:rsid w:val="0078171A"/>
    <w:rsid w:val="0078212E"/>
    <w:rsid w:val="007824D5"/>
    <w:rsid w:val="00783AB5"/>
    <w:rsid w:val="007947A0"/>
    <w:rsid w:val="007A024D"/>
    <w:rsid w:val="007A0F7B"/>
    <w:rsid w:val="007A2756"/>
    <w:rsid w:val="007A2D2C"/>
    <w:rsid w:val="007B182B"/>
    <w:rsid w:val="007B650F"/>
    <w:rsid w:val="007B79B8"/>
    <w:rsid w:val="007C19E1"/>
    <w:rsid w:val="007C602B"/>
    <w:rsid w:val="007C7D91"/>
    <w:rsid w:val="007D012F"/>
    <w:rsid w:val="007D0AFE"/>
    <w:rsid w:val="007D1245"/>
    <w:rsid w:val="007D2CD8"/>
    <w:rsid w:val="007D3A1C"/>
    <w:rsid w:val="007D4BAE"/>
    <w:rsid w:val="007D6175"/>
    <w:rsid w:val="007E3042"/>
    <w:rsid w:val="007E6820"/>
    <w:rsid w:val="007F74A7"/>
    <w:rsid w:val="008037DB"/>
    <w:rsid w:val="008049D0"/>
    <w:rsid w:val="00805468"/>
    <w:rsid w:val="0080621E"/>
    <w:rsid w:val="00814208"/>
    <w:rsid w:val="00820381"/>
    <w:rsid w:val="008277F5"/>
    <w:rsid w:val="00835390"/>
    <w:rsid w:val="00835D98"/>
    <w:rsid w:val="00835F90"/>
    <w:rsid w:val="00837005"/>
    <w:rsid w:val="008402ED"/>
    <w:rsid w:val="0084233D"/>
    <w:rsid w:val="00844FFA"/>
    <w:rsid w:val="00850976"/>
    <w:rsid w:val="00855121"/>
    <w:rsid w:val="00855461"/>
    <w:rsid w:val="00855F47"/>
    <w:rsid w:val="00862A03"/>
    <w:rsid w:val="00872CEC"/>
    <w:rsid w:val="00881346"/>
    <w:rsid w:val="00886AA7"/>
    <w:rsid w:val="00891FCA"/>
    <w:rsid w:val="008B0FA4"/>
    <w:rsid w:val="008C54AB"/>
    <w:rsid w:val="008D1AED"/>
    <w:rsid w:val="008D42DE"/>
    <w:rsid w:val="008D4340"/>
    <w:rsid w:val="008D5545"/>
    <w:rsid w:val="008E390A"/>
    <w:rsid w:val="008F1600"/>
    <w:rsid w:val="008F1F71"/>
    <w:rsid w:val="008F31C0"/>
    <w:rsid w:val="008F4E32"/>
    <w:rsid w:val="0090304A"/>
    <w:rsid w:val="009031B5"/>
    <w:rsid w:val="00903493"/>
    <w:rsid w:val="00906651"/>
    <w:rsid w:val="00907135"/>
    <w:rsid w:val="009115FC"/>
    <w:rsid w:val="0091345C"/>
    <w:rsid w:val="00921E7A"/>
    <w:rsid w:val="00924274"/>
    <w:rsid w:val="009274F0"/>
    <w:rsid w:val="00927EA6"/>
    <w:rsid w:val="00930EEA"/>
    <w:rsid w:val="00932A4B"/>
    <w:rsid w:val="00933FD6"/>
    <w:rsid w:val="00937273"/>
    <w:rsid w:val="0095636E"/>
    <w:rsid w:val="00957955"/>
    <w:rsid w:val="009644A4"/>
    <w:rsid w:val="00966174"/>
    <w:rsid w:val="00966F96"/>
    <w:rsid w:val="00967370"/>
    <w:rsid w:val="00970774"/>
    <w:rsid w:val="009802A4"/>
    <w:rsid w:val="00980873"/>
    <w:rsid w:val="00981885"/>
    <w:rsid w:val="00983E0B"/>
    <w:rsid w:val="0098598A"/>
    <w:rsid w:val="00992F14"/>
    <w:rsid w:val="0099622F"/>
    <w:rsid w:val="00997F6D"/>
    <w:rsid w:val="009A1D61"/>
    <w:rsid w:val="009A40D5"/>
    <w:rsid w:val="009A5D18"/>
    <w:rsid w:val="009A6D8D"/>
    <w:rsid w:val="009B0D4C"/>
    <w:rsid w:val="009B0EE2"/>
    <w:rsid w:val="009B1576"/>
    <w:rsid w:val="009B1823"/>
    <w:rsid w:val="009B389A"/>
    <w:rsid w:val="009B7000"/>
    <w:rsid w:val="009B7B65"/>
    <w:rsid w:val="009C07B6"/>
    <w:rsid w:val="009C2859"/>
    <w:rsid w:val="009C4E0C"/>
    <w:rsid w:val="009D02D6"/>
    <w:rsid w:val="009D2330"/>
    <w:rsid w:val="009D71E7"/>
    <w:rsid w:val="009D75CD"/>
    <w:rsid w:val="009D7ACC"/>
    <w:rsid w:val="009E0C1E"/>
    <w:rsid w:val="009E18C6"/>
    <w:rsid w:val="009E4CD9"/>
    <w:rsid w:val="00A074AF"/>
    <w:rsid w:val="00A0752F"/>
    <w:rsid w:val="00A12444"/>
    <w:rsid w:val="00A14DDE"/>
    <w:rsid w:val="00A246C2"/>
    <w:rsid w:val="00A30800"/>
    <w:rsid w:val="00A30A57"/>
    <w:rsid w:val="00A31C74"/>
    <w:rsid w:val="00A366EE"/>
    <w:rsid w:val="00A41FA4"/>
    <w:rsid w:val="00A45D3F"/>
    <w:rsid w:val="00A47043"/>
    <w:rsid w:val="00A50FB3"/>
    <w:rsid w:val="00A536F2"/>
    <w:rsid w:val="00A547C3"/>
    <w:rsid w:val="00A55882"/>
    <w:rsid w:val="00A61345"/>
    <w:rsid w:val="00A6234C"/>
    <w:rsid w:val="00A66099"/>
    <w:rsid w:val="00A708D2"/>
    <w:rsid w:val="00A71255"/>
    <w:rsid w:val="00A77BFF"/>
    <w:rsid w:val="00A86334"/>
    <w:rsid w:val="00A865C1"/>
    <w:rsid w:val="00A8671A"/>
    <w:rsid w:val="00A869AF"/>
    <w:rsid w:val="00AA05CD"/>
    <w:rsid w:val="00AA0BCD"/>
    <w:rsid w:val="00AA17C9"/>
    <w:rsid w:val="00AA717C"/>
    <w:rsid w:val="00AB1A37"/>
    <w:rsid w:val="00AB1E08"/>
    <w:rsid w:val="00AB2509"/>
    <w:rsid w:val="00AB2EEC"/>
    <w:rsid w:val="00AB4DA0"/>
    <w:rsid w:val="00AB5DFE"/>
    <w:rsid w:val="00AB64E1"/>
    <w:rsid w:val="00AC1D9B"/>
    <w:rsid w:val="00AC2AB2"/>
    <w:rsid w:val="00AC495C"/>
    <w:rsid w:val="00AC53BA"/>
    <w:rsid w:val="00AE032F"/>
    <w:rsid w:val="00AE06E0"/>
    <w:rsid w:val="00AE59F0"/>
    <w:rsid w:val="00AE6AB4"/>
    <w:rsid w:val="00AE7EB8"/>
    <w:rsid w:val="00AF498B"/>
    <w:rsid w:val="00AF4DFF"/>
    <w:rsid w:val="00AF60E3"/>
    <w:rsid w:val="00B02DD4"/>
    <w:rsid w:val="00B033F3"/>
    <w:rsid w:val="00B11868"/>
    <w:rsid w:val="00B15C8F"/>
    <w:rsid w:val="00B24F21"/>
    <w:rsid w:val="00B25741"/>
    <w:rsid w:val="00B3239E"/>
    <w:rsid w:val="00B3316D"/>
    <w:rsid w:val="00B40C6A"/>
    <w:rsid w:val="00B43EEC"/>
    <w:rsid w:val="00B45176"/>
    <w:rsid w:val="00B4676A"/>
    <w:rsid w:val="00B46AAC"/>
    <w:rsid w:val="00B476D4"/>
    <w:rsid w:val="00B53333"/>
    <w:rsid w:val="00B54CA6"/>
    <w:rsid w:val="00B5599B"/>
    <w:rsid w:val="00B56A95"/>
    <w:rsid w:val="00B60FEF"/>
    <w:rsid w:val="00B61376"/>
    <w:rsid w:val="00B6139F"/>
    <w:rsid w:val="00B6471F"/>
    <w:rsid w:val="00B654E6"/>
    <w:rsid w:val="00B67360"/>
    <w:rsid w:val="00B7127A"/>
    <w:rsid w:val="00B832F9"/>
    <w:rsid w:val="00B8426D"/>
    <w:rsid w:val="00B85702"/>
    <w:rsid w:val="00B92814"/>
    <w:rsid w:val="00BA0B39"/>
    <w:rsid w:val="00BA6A1A"/>
    <w:rsid w:val="00BA6C57"/>
    <w:rsid w:val="00BA72D5"/>
    <w:rsid w:val="00BA7D2A"/>
    <w:rsid w:val="00BB39CD"/>
    <w:rsid w:val="00BB507E"/>
    <w:rsid w:val="00BC027E"/>
    <w:rsid w:val="00BC4B81"/>
    <w:rsid w:val="00BC4B9F"/>
    <w:rsid w:val="00BC6140"/>
    <w:rsid w:val="00BD18C9"/>
    <w:rsid w:val="00BD2B78"/>
    <w:rsid w:val="00BD3DDB"/>
    <w:rsid w:val="00BD732E"/>
    <w:rsid w:val="00BE1AC3"/>
    <w:rsid w:val="00BE27BC"/>
    <w:rsid w:val="00BF362E"/>
    <w:rsid w:val="00BF6FB5"/>
    <w:rsid w:val="00C000A1"/>
    <w:rsid w:val="00C00D8C"/>
    <w:rsid w:val="00C01B35"/>
    <w:rsid w:val="00C01B49"/>
    <w:rsid w:val="00C07158"/>
    <w:rsid w:val="00C15E5A"/>
    <w:rsid w:val="00C16AE9"/>
    <w:rsid w:val="00C24A3C"/>
    <w:rsid w:val="00C24A57"/>
    <w:rsid w:val="00C26782"/>
    <w:rsid w:val="00C26D9D"/>
    <w:rsid w:val="00C32D2B"/>
    <w:rsid w:val="00C363C6"/>
    <w:rsid w:val="00C53CFC"/>
    <w:rsid w:val="00C55A46"/>
    <w:rsid w:val="00C56462"/>
    <w:rsid w:val="00C61E0D"/>
    <w:rsid w:val="00C706BF"/>
    <w:rsid w:val="00C7076C"/>
    <w:rsid w:val="00C71F70"/>
    <w:rsid w:val="00C7389A"/>
    <w:rsid w:val="00C747F4"/>
    <w:rsid w:val="00C75C56"/>
    <w:rsid w:val="00C963E3"/>
    <w:rsid w:val="00CA358E"/>
    <w:rsid w:val="00CA747E"/>
    <w:rsid w:val="00CB0F90"/>
    <w:rsid w:val="00CB5AB9"/>
    <w:rsid w:val="00CB63E2"/>
    <w:rsid w:val="00CC0F31"/>
    <w:rsid w:val="00CC39FC"/>
    <w:rsid w:val="00CC3C1E"/>
    <w:rsid w:val="00CC48A8"/>
    <w:rsid w:val="00CD2E7D"/>
    <w:rsid w:val="00CD3CAE"/>
    <w:rsid w:val="00CD4242"/>
    <w:rsid w:val="00CE2B47"/>
    <w:rsid w:val="00CE4A69"/>
    <w:rsid w:val="00CE678F"/>
    <w:rsid w:val="00CF68F8"/>
    <w:rsid w:val="00CF7351"/>
    <w:rsid w:val="00D014CF"/>
    <w:rsid w:val="00D0355A"/>
    <w:rsid w:val="00D045DA"/>
    <w:rsid w:val="00D05F04"/>
    <w:rsid w:val="00D14942"/>
    <w:rsid w:val="00D20441"/>
    <w:rsid w:val="00D211F4"/>
    <w:rsid w:val="00D33ED1"/>
    <w:rsid w:val="00D378A8"/>
    <w:rsid w:val="00D37B43"/>
    <w:rsid w:val="00D414A6"/>
    <w:rsid w:val="00D55A23"/>
    <w:rsid w:val="00D60438"/>
    <w:rsid w:val="00D61CA6"/>
    <w:rsid w:val="00D628A4"/>
    <w:rsid w:val="00D64735"/>
    <w:rsid w:val="00D66413"/>
    <w:rsid w:val="00D675DB"/>
    <w:rsid w:val="00D7270D"/>
    <w:rsid w:val="00D746DE"/>
    <w:rsid w:val="00D80FE1"/>
    <w:rsid w:val="00D81FD7"/>
    <w:rsid w:val="00D82016"/>
    <w:rsid w:val="00D836DA"/>
    <w:rsid w:val="00D91F50"/>
    <w:rsid w:val="00D97E58"/>
    <w:rsid w:val="00DA1F51"/>
    <w:rsid w:val="00DA421E"/>
    <w:rsid w:val="00DA5EED"/>
    <w:rsid w:val="00DB5ECD"/>
    <w:rsid w:val="00DC1DA4"/>
    <w:rsid w:val="00DD0705"/>
    <w:rsid w:val="00DD2EBC"/>
    <w:rsid w:val="00DD333A"/>
    <w:rsid w:val="00DD5C43"/>
    <w:rsid w:val="00DD7F7B"/>
    <w:rsid w:val="00DE1A4F"/>
    <w:rsid w:val="00DE3647"/>
    <w:rsid w:val="00DE4549"/>
    <w:rsid w:val="00DE5151"/>
    <w:rsid w:val="00DF1433"/>
    <w:rsid w:val="00DF6195"/>
    <w:rsid w:val="00DF6E82"/>
    <w:rsid w:val="00E10F53"/>
    <w:rsid w:val="00E12025"/>
    <w:rsid w:val="00E1229F"/>
    <w:rsid w:val="00E12E11"/>
    <w:rsid w:val="00E20039"/>
    <w:rsid w:val="00E27DD2"/>
    <w:rsid w:val="00E310C4"/>
    <w:rsid w:val="00E34BD3"/>
    <w:rsid w:val="00E37F96"/>
    <w:rsid w:val="00E472CD"/>
    <w:rsid w:val="00E509BB"/>
    <w:rsid w:val="00E51977"/>
    <w:rsid w:val="00E56A38"/>
    <w:rsid w:val="00E60922"/>
    <w:rsid w:val="00E64557"/>
    <w:rsid w:val="00E66370"/>
    <w:rsid w:val="00E6767C"/>
    <w:rsid w:val="00E70A5C"/>
    <w:rsid w:val="00E75FEA"/>
    <w:rsid w:val="00E815BD"/>
    <w:rsid w:val="00E8449D"/>
    <w:rsid w:val="00E87E7D"/>
    <w:rsid w:val="00E90D4C"/>
    <w:rsid w:val="00E94C40"/>
    <w:rsid w:val="00E973D4"/>
    <w:rsid w:val="00EA4E69"/>
    <w:rsid w:val="00EA7160"/>
    <w:rsid w:val="00EB243B"/>
    <w:rsid w:val="00EB374B"/>
    <w:rsid w:val="00EB4390"/>
    <w:rsid w:val="00EB5AFF"/>
    <w:rsid w:val="00EB5E7D"/>
    <w:rsid w:val="00EC1AA4"/>
    <w:rsid w:val="00EC7A8A"/>
    <w:rsid w:val="00EE30E5"/>
    <w:rsid w:val="00EE59FF"/>
    <w:rsid w:val="00EF3C14"/>
    <w:rsid w:val="00F031E7"/>
    <w:rsid w:val="00F06A7F"/>
    <w:rsid w:val="00F106D4"/>
    <w:rsid w:val="00F111CC"/>
    <w:rsid w:val="00F12EE1"/>
    <w:rsid w:val="00F14721"/>
    <w:rsid w:val="00F16911"/>
    <w:rsid w:val="00F24D8B"/>
    <w:rsid w:val="00F269A0"/>
    <w:rsid w:val="00F3047E"/>
    <w:rsid w:val="00F30F9E"/>
    <w:rsid w:val="00F3444E"/>
    <w:rsid w:val="00F348E3"/>
    <w:rsid w:val="00F364E7"/>
    <w:rsid w:val="00F36859"/>
    <w:rsid w:val="00F422CD"/>
    <w:rsid w:val="00F425EA"/>
    <w:rsid w:val="00F43372"/>
    <w:rsid w:val="00F46C33"/>
    <w:rsid w:val="00F500B8"/>
    <w:rsid w:val="00F51164"/>
    <w:rsid w:val="00F5270E"/>
    <w:rsid w:val="00F563A8"/>
    <w:rsid w:val="00F630CD"/>
    <w:rsid w:val="00F632A4"/>
    <w:rsid w:val="00F65A9B"/>
    <w:rsid w:val="00F65B5D"/>
    <w:rsid w:val="00F708EE"/>
    <w:rsid w:val="00F726C5"/>
    <w:rsid w:val="00F73744"/>
    <w:rsid w:val="00F757EC"/>
    <w:rsid w:val="00F806C8"/>
    <w:rsid w:val="00F84407"/>
    <w:rsid w:val="00F845DE"/>
    <w:rsid w:val="00F91111"/>
    <w:rsid w:val="00F92431"/>
    <w:rsid w:val="00FA13D7"/>
    <w:rsid w:val="00FA17C9"/>
    <w:rsid w:val="00FA3A0D"/>
    <w:rsid w:val="00FA7C11"/>
    <w:rsid w:val="00FB27F4"/>
    <w:rsid w:val="00FB54B7"/>
    <w:rsid w:val="00FB614A"/>
    <w:rsid w:val="00FC001D"/>
    <w:rsid w:val="00FC19D2"/>
    <w:rsid w:val="00FC25AF"/>
    <w:rsid w:val="00FC5A7E"/>
    <w:rsid w:val="00FC6306"/>
    <w:rsid w:val="00FD0036"/>
    <w:rsid w:val="00FD68AF"/>
    <w:rsid w:val="00FE0269"/>
    <w:rsid w:val="00FE193D"/>
    <w:rsid w:val="00FE1986"/>
    <w:rsid w:val="00FE55E2"/>
    <w:rsid w:val="00FE5F30"/>
    <w:rsid w:val="00FF045F"/>
    <w:rsid w:val="00FF08A0"/>
    <w:rsid w:val="00FF3F08"/>
    <w:rsid w:val="00FF7329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284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6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4549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A456C"/>
    <w:pPr>
      <w:ind w:firstLine="720"/>
      <w:jc w:val="both"/>
    </w:pPr>
    <w:rPr>
      <w:sz w:val="28"/>
      <w:szCs w:val="20"/>
    </w:rPr>
  </w:style>
  <w:style w:type="paragraph" w:styleId="22">
    <w:name w:val="Body Text Indent 2"/>
    <w:basedOn w:val="a"/>
    <w:link w:val="23"/>
    <w:rsid w:val="005A456C"/>
    <w:pPr>
      <w:spacing w:after="200"/>
      <w:ind w:firstLine="709"/>
      <w:jc w:val="center"/>
    </w:pPr>
    <w:rPr>
      <w:rFonts w:eastAsia="Calibri"/>
      <w:sz w:val="28"/>
      <w:szCs w:val="18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5A456C"/>
    <w:rPr>
      <w:rFonts w:ascii="Times New Roman" w:eastAsia="Calibri" w:hAnsi="Times New Roman" w:cs="Times New Roman"/>
      <w:sz w:val="28"/>
      <w:szCs w:val="18"/>
    </w:rPr>
  </w:style>
  <w:style w:type="paragraph" w:customStyle="1" w:styleId="1">
    <w:name w:val="Мама 1"/>
    <w:basedOn w:val="a3"/>
    <w:rsid w:val="005A456C"/>
    <w:pPr>
      <w:spacing w:line="360" w:lineRule="auto"/>
      <w:jc w:val="center"/>
    </w:pPr>
    <w:rPr>
      <w:rFonts w:ascii="Times New Roman" w:hAnsi="Times New Roman"/>
      <w:b/>
      <w:sz w:val="28"/>
      <w:szCs w:val="28"/>
    </w:rPr>
  </w:style>
  <w:style w:type="paragraph" w:styleId="a3">
    <w:name w:val="Plain Text"/>
    <w:basedOn w:val="a"/>
    <w:link w:val="a4"/>
    <w:uiPriority w:val="99"/>
    <w:semiHidden/>
    <w:unhideWhenUsed/>
    <w:rsid w:val="005A456C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A456C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B4DA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B4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37B43"/>
    <w:pPr>
      <w:spacing w:before="100" w:beforeAutospacing="1" w:after="100" w:afterAutospacing="1"/>
    </w:pPr>
  </w:style>
  <w:style w:type="paragraph" w:styleId="a8">
    <w:name w:val="Body Text"/>
    <w:basedOn w:val="a"/>
    <w:link w:val="a9"/>
    <w:semiHidden/>
    <w:rsid w:val="00404CE5"/>
    <w:pPr>
      <w:overflowPunct w:val="0"/>
      <w:autoSpaceDE w:val="0"/>
      <w:autoSpaceDN w:val="0"/>
      <w:adjustRightInd w:val="0"/>
      <w:spacing w:after="120"/>
      <w:textAlignment w:val="baseline"/>
    </w:pPr>
    <w:rPr>
      <w:rFonts w:ascii="Tms Rmn" w:hAnsi="Tms Rmn"/>
      <w:sz w:val="20"/>
      <w:szCs w:val="20"/>
      <w:lang w:val="en-GB"/>
    </w:rPr>
  </w:style>
  <w:style w:type="character" w:customStyle="1" w:styleId="a9">
    <w:name w:val="Основной текст Знак"/>
    <w:basedOn w:val="a0"/>
    <w:link w:val="a8"/>
    <w:semiHidden/>
    <w:rsid w:val="00404CE5"/>
    <w:rPr>
      <w:rFonts w:ascii="Tms Rmn" w:eastAsia="Times New Roman" w:hAnsi="Tms Rmn" w:cs="Times New Roman"/>
      <w:sz w:val="20"/>
      <w:szCs w:val="20"/>
      <w:lang w:val="en-GB" w:eastAsia="ru-RU"/>
    </w:rPr>
  </w:style>
  <w:style w:type="character" w:customStyle="1" w:styleId="20">
    <w:name w:val="Заголовок 2 Знак"/>
    <w:basedOn w:val="a0"/>
    <w:link w:val="2"/>
    <w:rsid w:val="00DE45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AF4DFF"/>
    <w:pPr>
      <w:ind w:left="720"/>
      <w:contextualSpacing/>
    </w:pPr>
  </w:style>
  <w:style w:type="paragraph" w:styleId="ab">
    <w:name w:val="No Spacing"/>
    <w:link w:val="ac"/>
    <w:uiPriority w:val="1"/>
    <w:qFormat/>
    <w:rsid w:val="000B039B"/>
    <w:pPr>
      <w:spacing w:line="240" w:lineRule="auto"/>
      <w:ind w:left="0" w:firstLine="0"/>
      <w:jc w:val="left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E0C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E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E0C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E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link w:val="NoSpacingChar"/>
    <w:rsid w:val="007E682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0"/>
    <w:locked/>
    <w:rsid w:val="007E6820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Без интервала1"/>
    <w:rsid w:val="007E6820"/>
    <w:pPr>
      <w:spacing w:line="240" w:lineRule="auto"/>
      <w:ind w:left="0" w:firstLine="0"/>
      <w:jc w:val="left"/>
    </w:pPr>
    <w:rPr>
      <w:rFonts w:ascii="Calibri" w:eastAsia="Times New Roman" w:hAnsi="Calibri" w:cs="Times New Roman"/>
    </w:rPr>
  </w:style>
  <w:style w:type="character" w:styleId="af1">
    <w:name w:val="annotation reference"/>
    <w:basedOn w:val="a0"/>
    <w:uiPriority w:val="99"/>
    <w:semiHidden/>
    <w:unhideWhenUsed/>
    <w:rsid w:val="00085B5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85B5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85B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85B5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85B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85B5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85B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5F01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Основной текст_"/>
    <w:basedOn w:val="a0"/>
    <w:link w:val="12"/>
    <w:rsid w:val="005F6394"/>
    <w:rPr>
      <w:rFonts w:ascii="Arial" w:eastAsia="Arial" w:hAnsi="Arial" w:cs="Arial"/>
    </w:rPr>
  </w:style>
  <w:style w:type="paragraph" w:customStyle="1" w:styleId="12">
    <w:name w:val="Основной текст1"/>
    <w:basedOn w:val="a"/>
    <w:link w:val="af8"/>
    <w:rsid w:val="005F6394"/>
    <w:pPr>
      <w:widowControl w:val="0"/>
      <w:spacing w:after="220" w:line="312" w:lineRule="auto"/>
      <w:ind w:firstLine="2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locked/>
    <w:rsid w:val="00F806C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284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6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4549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A456C"/>
    <w:pPr>
      <w:ind w:firstLine="720"/>
      <w:jc w:val="both"/>
    </w:pPr>
    <w:rPr>
      <w:sz w:val="28"/>
      <w:szCs w:val="20"/>
    </w:rPr>
  </w:style>
  <w:style w:type="paragraph" w:styleId="22">
    <w:name w:val="Body Text Indent 2"/>
    <w:basedOn w:val="a"/>
    <w:link w:val="23"/>
    <w:rsid w:val="005A456C"/>
    <w:pPr>
      <w:spacing w:after="200"/>
      <w:ind w:firstLine="709"/>
      <w:jc w:val="center"/>
    </w:pPr>
    <w:rPr>
      <w:rFonts w:eastAsia="Calibri"/>
      <w:sz w:val="28"/>
      <w:szCs w:val="18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5A456C"/>
    <w:rPr>
      <w:rFonts w:ascii="Times New Roman" w:eastAsia="Calibri" w:hAnsi="Times New Roman" w:cs="Times New Roman"/>
      <w:sz w:val="28"/>
      <w:szCs w:val="18"/>
    </w:rPr>
  </w:style>
  <w:style w:type="paragraph" w:customStyle="1" w:styleId="1">
    <w:name w:val="Мама 1"/>
    <w:basedOn w:val="a3"/>
    <w:rsid w:val="005A456C"/>
    <w:pPr>
      <w:spacing w:line="360" w:lineRule="auto"/>
      <w:jc w:val="center"/>
    </w:pPr>
    <w:rPr>
      <w:rFonts w:ascii="Times New Roman" w:hAnsi="Times New Roman"/>
      <w:b/>
      <w:sz w:val="28"/>
      <w:szCs w:val="28"/>
    </w:rPr>
  </w:style>
  <w:style w:type="paragraph" w:styleId="a3">
    <w:name w:val="Plain Text"/>
    <w:basedOn w:val="a"/>
    <w:link w:val="a4"/>
    <w:uiPriority w:val="99"/>
    <w:semiHidden/>
    <w:unhideWhenUsed/>
    <w:rsid w:val="005A456C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A456C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B4DA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B4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37B43"/>
    <w:pPr>
      <w:spacing w:before="100" w:beforeAutospacing="1" w:after="100" w:afterAutospacing="1"/>
    </w:pPr>
  </w:style>
  <w:style w:type="paragraph" w:styleId="a8">
    <w:name w:val="Body Text"/>
    <w:basedOn w:val="a"/>
    <w:link w:val="a9"/>
    <w:semiHidden/>
    <w:rsid w:val="00404CE5"/>
    <w:pPr>
      <w:overflowPunct w:val="0"/>
      <w:autoSpaceDE w:val="0"/>
      <w:autoSpaceDN w:val="0"/>
      <w:adjustRightInd w:val="0"/>
      <w:spacing w:after="120"/>
      <w:textAlignment w:val="baseline"/>
    </w:pPr>
    <w:rPr>
      <w:rFonts w:ascii="Tms Rmn" w:hAnsi="Tms Rmn"/>
      <w:sz w:val="20"/>
      <w:szCs w:val="20"/>
      <w:lang w:val="en-GB"/>
    </w:rPr>
  </w:style>
  <w:style w:type="character" w:customStyle="1" w:styleId="a9">
    <w:name w:val="Основной текст Знак"/>
    <w:basedOn w:val="a0"/>
    <w:link w:val="a8"/>
    <w:semiHidden/>
    <w:rsid w:val="00404CE5"/>
    <w:rPr>
      <w:rFonts w:ascii="Tms Rmn" w:eastAsia="Times New Roman" w:hAnsi="Tms Rmn" w:cs="Times New Roman"/>
      <w:sz w:val="20"/>
      <w:szCs w:val="20"/>
      <w:lang w:val="en-GB" w:eastAsia="ru-RU"/>
    </w:rPr>
  </w:style>
  <w:style w:type="character" w:customStyle="1" w:styleId="20">
    <w:name w:val="Заголовок 2 Знак"/>
    <w:basedOn w:val="a0"/>
    <w:link w:val="2"/>
    <w:rsid w:val="00DE45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AF4DFF"/>
    <w:pPr>
      <w:ind w:left="720"/>
      <w:contextualSpacing/>
    </w:pPr>
  </w:style>
  <w:style w:type="paragraph" w:styleId="ab">
    <w:name w:val="No Spacing"/>
    <w:link w:val="ac"/>
    <w:uiPriority w:val="1"/>
    <w:qFormat/>
    <w:rsid w:val="000B039B"/>
    <w:pPr>
      <w:spacing w:line="240" w:lineRule="auto"/>
      <w:ind w:left="0" w:firstLine="0"/>
      <w:jc w:val="left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E0C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E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E0C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E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link w:val="NoSpacingChar"/>
    <w:rsid w:val="007E682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0"/>
    <w:locked/>
    <w:rsid w:val="007E6820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Без интервала1"/>
    <w:rsid w:val="007E6820"/>
    <w:pPr>
      <w:spacing w:line="240" w:lineRule="auto"/>
      <w:ind w:left="0" w:firstLine="0"/>
      <w:jc w:val="left"/>
    </w:pPr>
    <w:rPr>
      <w:rFonts w:ascii="Calibri" w:eastAsia="Times New Roman" w:hAnsi="Calibri" w:cs="Times New Roman"/>
    </w:rPr>
  </w:style>
  <w:style w:type="character" w:styleId="af1">
    <w:name w:val="annotation reference"/>
    <w:basedOn w:val="a0"/>
    <w:uiPriority w:val="99"/>
    <w:semiHidden/>
    <w:unhideWhenUsed/>
    <w:rsid w:val="00085B5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85B5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85B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85B5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85B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85B5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85B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5F01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Основной текст_"/>
    <w:basedOn w:val="a0"/>
    <w:link w:val="12"/>
    <w:rsid w:val="005F6394"/>
    <w:rPr>
      <w:rFonts w:ascii="Arial" w:eastAsia="Arial" w:hAnsi="Arial" w:cs="Arial"/>
    </w:rPr>
  </w:style>
  <w:style w:type="paragraph" w:customStyle="1" w:styleId="12">
    <w:name w:val="Основной текст1"/>
    <w:basedOn w:val="a"/>
    <w:link w:val="af8"/>
    <w:rsid w:val="005F6394"/>
    <w:pPr>
      <w:widowControl w:val="0"/>
      <w:spacing w:after="220" w:line="312" w:lineRule="auto"/>
      <w:ind w:firstLine="2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locked/>
    <w:rsid w:val="00F806C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3621</Words>
  <Characters>20645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 .Казакова</dc:creator>
  <cp:lastModifiedBy>Elena</cp:lastModifiedBy>
  <cp:revision>4</cp:revision>
  <cp:lastPrinted>2018-08-30T03:20:00Z</cp:lastPrinted>
  <dcterms:created xsi:type="dcterms:W3CDTF">2022-11-15T09:54:00Z</dcterms:created>
  <dcterms:modified xsi:type="dcterms:W3CDTF">2022-11-16T02:10:00Z</dcterms:modified>
</cp:coreProperties>
</file>