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C7" w:rsidRPr="00124689" w:rsidRDefault="00AB2CAF" w:rsidP="00AB2C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89">
        <w:rPr>
          <w:rFonts w:ascii="Times New Roman" w:hAnsi="Times New Roman" w:cs="Times New Roman"/>
          <w:b/>
          <w:sz w:val="24"/>
          <w:szCs w:val="24"/>
        </w:rPr>
        <w:t xml:space="preserve">АКТ О РЕЗУЛЬТАТАХ КОНТРОЛЯ ОБ ИСПОЛНЕНИИ КОНЦЕССИОНЕРОМ МЕРОПРИЯТИЙ, ПРЕДУСМОТРЕННЫХ </w:t>
      </w:r>
      <w:r w:rsidR="00D051C7" w:rsidRPr="00124689">
        <w:rPr>
          <w:rFonts w:ascii="Times New Roman" w:hAnsi="Times New Roman" w:cs="Times New Roman"/>
          <w:b/>
          <w:sz w:val="24"/>
          <w:szCs w:val="24"/>
        </w:rPr>
        <w:t xml:space="preserve">КОНЦЕССИОННЫМ </w:t>
      </w:r>
      <w:r w:rsidRPr="00124689">
        <w:rPr>
          <w:rFonts w:ascii="Times New Roman" w:hAnsi="Times New Roman" w:cs="Times New Roman"/>
          <w:b/>
          <w:sz w:val="24"/>
          <w:szCs w:val="24"/>
        </w:rPr>
        <w:t xml:space="preserve">СОГЛАШЕНИЕМ </w:t>
      </w:r>
    </w:p>
    <w:p w:rsidR="00AB2CAF" w:rsidRDefault="00AB2CAF" w:rsidP="00AB2C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20.11.2018 № 12</w:t>
      </w:r>
      <w:r w:rsidR="005C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 </w:t>
      </w:r>
    </w:p>
    <w:p w:rsidR="00173994" w:rsidRPr="00124689" w:rsidRDefault="00173994" w:rsidP="00AB2C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CAF" w:rsidRPr="00124689" w:rsidRDefault="00AB2CAF" w:rsidP="00AB2C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(теплоснабжение </w:t>
      </w:r>
      <w:r w:rsidR="005C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села Яготино</w:t>
      </w: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051C7" w:rsidRPr="00124689" w:rsidRDefault="00D051C7" w:rsidP="00AB2CA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1C7" w:rsidRPr="00124689" w:rsidRDefault="00AB2CAF" w:rsidP="00D051C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971C7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Благовещенский район Алтайского края, от имени которого выступает Администрация Благовещенского района Алтайского края, действующая на основании Устава, в лице главы Благовещенского района Гинца Андрея Артуровича, действующего на основании Устава, именуемое в дальнейшем «</w:t>
      </w:r>
      <w:r w:rsidRPr="00C971C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Концедент»</w:t>
      </w:r>
      <w:r w:rsidRPr="00C971C7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предприниматель глава крестьянско-фермерского хозяйства Гербер </w:t>
      </w:r>
      <w:proofErr w:type="spellStart"/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Пиус</w:t>
      </w:r>
      <w:proofErr w:type="spellEnd"/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Пиусович</w:t>
      </w:r>
      <w:proofErr w:type="spellEnd"/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на основании свидетельства, именуемый в дальнейшем «</w:t>
      </w:r>
      <w:r w:rsidR="00282361" w:rsidRPr="002823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Концессионер»,</w:t>
      </w:r>
      <w:r w:rsidR="002823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971C7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</w:t>
      </w:r>
      <w:proofErr w:type="gramEnd"/>
      <w:r w:rsidRPr="00C971C7">
        <w:rPr>
          <w:rFonts w:ascii="Times New Roman" w:hAnsi="Times New Roman" w:cs="Times New Roman"/>
          <w:sz w:val="24"/>
          <w:szCs w:val="24"/>
          <w:lang w:eastAsia="ru-RU"/>
        </w:rPr>
        <w:t> «</w:t>
      </w:r>
      <w:r w:rsidRPr="00C971C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Стороны»</w:t>
      </w:r>
      <w:r w:rsidR="0007787C" w:rsidRPr="00C971C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составили настоящий акт об исполнении мероприятий, предусмотренных </w:t>
      </w:r>
      <w:r w:rsidR="00D051C7" w:rsidRPr="00C971C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Концессионным соглашением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20.11.2018 № 123</w:t>
      </w:r>
      <w:r w:rsidR="00D051C7" w:rsidRPr="00C9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 (теплоснабжение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51C7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села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Яготино</w:t>
      </w:r>
      <w:r w:rsidR="00D051C7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(далее Концессионное соглашение):</w:t>
      </w:r>
    </w:p>
    <w:p w:rsidR="00D051C7" w:rsidRPr="00124689" w:rsidRDefault="00D051C7" w:rsidP="00D051C7">
      <w:pPr>
        <w:pStyle w:val="a4"/>
        <w:numPr>
          <w:ilvl w:val="0"/>
          <w:numId w:val="1"/>
        </w:numPr>
        <w:spacing w:after="0" w:line="240" w:lineRule="exact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исполнения Концессионером условий Концессионного соглашения и использования муниципального имущества -  объекта Концес</w:t>
      </w:r>
      <w:r w:rsidR="007D4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сионного соглашения проведена «27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D4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</w:t>
      </w:r>
      <w:r w:rsidR="00824693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51C7" w:rsidRPr="00124689" w:rsidRDefault="00D051C7" w:rsidP="00D051C7">
      <w:pPr>
        <w:pStyle w:val="a4"/>
        <w:numPr>
          <w:ilvl w:val="0"/>
          <w:numId w:val="1"/>
        </w:numPr>
        <w:spacing w:after="0" w:line="240" w:lineRule="exact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Проверяемый период:</w:t>
      </w:r>
      <w:r w:rsidR="00B021D0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4693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год.</w:t>
      </w:r>
    </w:p>
    <w:p w:rsidR="00824693" w:rsidRDefault="00824693" w:rsidP="00D051C7">
      <w:pPr>
        <w:pStyle w:val="a4"/>
        <w:numPr>
          <w:ilvl w:val="0"/>
          <w:numId w:val="1"/>
        </w:numPr>
        <w:spacing w:after="0" w:line="240" w:lineRule="exact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proofErr w:type="gramStart"/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Концессионером Концессионного соглашения, в том числе по осуществлению инвестиций в реконструкцию и модернизацию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соглашения, проверка наличия и сохранности муниципального имущества – объекта Концессионного соглашения.</w:t>
      </w:r>
    </w:p>
    <w:p w:rsidR="00124689" w:rsidRPr="00124689" w:rsidRDefault="00124689" w:rsidP="00124689">
      <w:pPr>
        <w:pStyle w:val="a4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93" w:rsidRDefault="00824693" w:rsidP="00824693">
      <w:pPr>
        <w:pStyle w:val="a4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</w:p>
    <w:p w:rsidR="00124689" w:rsidRPr="00124689" w:rsidRDefault="00124689" w:rsidP="00824693">
      <w:pPr>
        <w:pStyle w:val="a4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27A" w:rsidRPr="00124689" w:rsidRDefault="0039627A" w:rsidP="00741BE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подтверждают выполнение Концессионером мероприятий, в части использования (эксплуатации) объ</w:t>
      </w:r>
      <w:r w:rsidR="00741BEC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ектов Концессионного соглашения - </w:t>
      </w: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муниципальное имущество используется (эксплуатируется) в соответствии с целями, установле</w:t>
      </w:r>
      <w:r w:rsidR="00741BEC"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нными концессионным соглашением.</w:t>
      </w:r>
    </w:p>
    <w:p w:rsidR="00890C54" w:rsidRPr="00124689" w:rsidRDefault="00804038" w:rsidP="00890C54">
      <w:pPr>
        <w:pStyle w:val="a4"/>
        <w:shd w:val="clear" w:color="auto" w:fill="FFFFFF"/>
        <w:spacing w:after="150" w:line="240" w:lineRule="auto"/>
        <w:ind w:left="0" w:hanging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Реконструкция (модернизация) имущества в 2019 году: </w:t>
      </w:r>
      <w:r w:rsid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еконструкция</w:t>
      </w:r>
      <w:r w:rsid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теплотрассы Ду-89мм с. Яготино,</w:t>
      </w:r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2361" w:rsidRPr="002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ервый участок от котельной</w:t>
      </w:r>
      <w:r w:rsidR="00282361" w:rsidRPr="00C319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90C54" w:rsidRPr="00124689">
        <w:rPr>
          <w:rFonts w:ascii="Times New Roman" w:hAnsi="Times New Roman" w:cs="Times New Roman"/>
          <w:color w:val="000000"/>
          <w:sz w:val="24"/>
          <w:szCs w:val="24"/>
        </w:rPr>
        <w:t xml:space="preserve"> не проведена. Неисполнение концессионером обязательств по инвестиционной программе связано с тем, что на момент </w:t>
      </w:r>
      <w:proofErr w:type="gramStart"/>
      <w:r w:rsidR="00890C54" w:rsidRPr="00124689">
        <w:rPr>
          <w:rFonts w:ascii="Times New Roman" w:hAnsi="Times New Roman" w:cs="Times New Roman"/>
          <w:color w:val="000000"/>
          <w:sz w:val="24"/>
          <w:szCs w:val="24"/>
        </w:rPr>
        <w:t>согласования значений долгосрочных параметров регулирования тарифов</w:t>
      </w:r>
      <w:proofErr w:type="gramEnd"/>
      <w:r w:rsidR="00890C54" w:rsidRPr="00124689">
        <w:rPr>
          <w:rFonts w:ascii="Times New Roman" w:hAnsi="Times New Roman" w:cs="Times New Roman"/>
          <w:color w:val="000000"/>
          <w:sz w:val="24"/>
          <w:szCs w:val="24"/>
        </w:rPr>
        <w:t xml:space="preserve"> на 2019 год, не была утверждена инвестиционная программа на реконструкцию объектов концессионного соглашения, поэтому тариф на тепловую энергию на 2019 год был утвержден без учета расходов на реконструкцию объектов концессионного соглашения.</w:t>
      </w:r>
    </w:p>
    <w:p w:rsidR="005D1D52" w:rsidRPr="00124689" w:rsidRDefault="005D1D52" w:rsidP="0012468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части исполнения Концессионером обязательств по выполнению Мероприятий, достижению показателей надежности, качества  и энергетической эффективности (далее</w:t>
      </w:r>
      <w:r w:rsidR="00B021D0"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показатели):</w:t>
      </w:r>
    </w:p>
    <w:p w:rsidR="00741BEC" w:rsidRPr="00124689" w:rsidRDefault="005D1D52" w:rsidP="005D1D52">
      <w:pPr>
        <w:pStyle w:val="a4"/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Концессионеру необходимо обеспечить повышение показателей, провести мероприятия по снижению расхода топлива на производство единицы тепловой энергии, отпускаемой потребителям; снижению технологических потерь при передаче тепловой энергии, теплоносителя по тепловым сетям. </w:t>
      </w:r>
    </w:p>
    <w:p w:rsidR="00A053FA" w:rsidRPr="00124689" w:rsidRDefault="00A053FA" w:rsidP="00A053F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Мониторинг показателей надежности, качества и энергетической эффективности объектов приведен в приложении 1 к акту, долгосрочных параметров регулирования деятельности концессионера -  в приложении 2 к акту, финансирования мероприятий – в приложении 3 к акту.</w:t>
      </w:r>
    </w:p>
    <w:p w:rsidR="00997BB5" w:rsidRPr="00124689" w:rsidRDefault="00997BB5" w:rsidP="00A053F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Настоящий акт составлен в 2 экземплярах, имеющих равную юриди</w:t>
      </w:r>
      <w:r w:rsidR="00ED013E"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ческую силу, и вступает в силу от</w:t>
      </w: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даты его подписания уполномоченными представителями Сторон  </w:t>
      </w:r>
      <w:r w:rsidRPr="001246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и удостоверяет  исполнение обязательств Концессионера в </w:t>
      </w:r>
      <w:r w:rsidR="0024566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части осуществления мероприятий в неполном объеме.</w:t>
      </w:r>
    </w:p>
    <w:p w:rsidR="00997BB5" w:rsidRPr="00124689" w:rsidRDefault="00997BB5" w:rsidP="00997BB5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D013E" w:rsidRPr="00124689" w:rsidRDefault="00ED013E" w:rsidP="00ED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ED013E" w:rsidRPr="00124689" w:rsidRDefault="00ED013E" w:rsidP="00ED01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jc w:val="center"/>
        <w:tblInd w:w="-233" w:type="dxa"/>
        <w:tblLayout w:type="fixed"/>
        <w:tblLook w:val="04A0" w:firstRow="1" w:lastRow="0" w:firstColumn="1" w:lastColumn="0" w:noHBand="0" w:noVBand="1"/>
      </w:tblPr>
      <w:tblGrid>
        <w:gridCol w:w="3256"/>
        <w:gridCol w:w="3191"/>
        <w:gridCol w:w="3423"/>
      </w:tblGrid>
      <w:tr w:rsidR="00ED013E" w:rsidRPr="00124689" w:rsidTr="00ED013E">
        <w:trPr>
          <w:trHeight w:val="1647"/>
          <w:jc w:val="center"/>
        </w:trPr>
        <w:tc>
          <w:tcPr>
            <w:tcW w:w="3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ED013E" w:rsidP="00374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Концедент</w:t>
            </w:r>
          </w:p>
          <w:p w:rsidR="00ED013E" w:rsidRPr="00124689" w:rsidRDefault="00ED013E" w:rsidP="00374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13E" w:rsidRPr="00124689" w:rsidRDefault="00ED013E" w:rsidP="00374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Благовещенского района Алтайского края</w:t>
            </w:r>
          </w:p>
        </w:tc>
        <w:tc>
          <w:tcPr>
            <w:tcW w:w="31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ED013E" w:rsidP="00374F6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ED013E" w:rsidP="00ED013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Концессионер      </w:t>
            </w:r>
          </w:p>
          <w:p w:rsidR="00ED013E" w:rsidRPr="00124689" w:rsidRDefault="00ED013E" w:rsidP="00ED013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13E" w:rsidRPr="00124689" w:rsidRDefault="00282361" w:rsidP="00374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Глава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Ф)Х</w:t>
            </w:r>
          </w:p>
        </w:tc>
      </w:tr>
      <w:tr w:rsidR="00ED013E" w:rsidRPr="00124689" w:rsidTr="00ED013E">
        <w:trPr>
          <w:trHeight w:val="1614"/>
          <w:jc w:val="center"/>
        </w:trPr>
        <w:tc>
          <w:tcPr>
            <w:tcW w:w="3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Гинц</w:t>
            </w:r>
          </w:p>
          <w:p w:rsidR="00ED013E" w:rsidRPr="00124689" w:rsidRDefault="00ED013E" w:rsidP="00374F6C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3E" w:rsidRPr="00124689" w:rsidRDefault="00ED013E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13E" w:rsidRPr="00124689" w:rsidRDefault="00ED013E" w:rsidP="00ED013E">
            <w:pPr>
              <w:spacing w:after="0" w:line="240" w:lineRule="auto"/>
              <w:ind w:left="20" w:hanging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3E" w:rsidRPr="00124689" w:rsidRDefault="00282361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Глава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Ф)Х</w:t>
            </w:r>
          </w:p>
          <w:p w:rsidR="00ED013E" w:rsidRPr="00124689" w:rsidRDefault="00ED013E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D013E" w:rsidRPr="00124689" w:rsidRDefault="00282361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Гербер</w:t>
            </w:r>
          </w:p>
          <w:p w:rsidR="00ED013E" w:rsidRPr="00124689" w:rsidRDefault="00ED013E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3E" w:rsidRPr="00124689" w:rsidRDefault="00ED013E" w:rsidP="00ED013E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7BB5" w:rsidRPr="00124689" w:rsidRDefault="00997BB5" w:rsidP="00997BB5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97BB5" w:rsidRPr="00124689" w:rsidRDefault="00997BB5" w:rsidP="00997B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24693" w:rsidRPr="00124689" w:rsidRDefault="00824693" w:rsidP="00741BEC">
      <w:p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BF5" w:rsidRPr="00124689" w:rsidRDefault="00213BF5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20A9" w:rsidRDefault="00A720A9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705" w:rsidRDefault="007A5705" w:rsidP="00A72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ED013E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3E" w:rsidRPr="00124689" w:rsidRDefault="00011148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013E" w:rsidRPr="00124689">
        <w:rPr>
          <w:rFonts w:ascii="Times New Roman" w:hAnsi="Times New Roman" w:cs="Times New Roman"/>
          <w:sz w:val="24"/>
          <w:szCs w:val="24"/>
        </w:rPr>
        <w:t>риложение 1</w:t>
      </w:r>
    </w:p>
    <w:p w:rsidR="00ED013E" w:rsidRPr="00124689" w:rsidRDefault="00ED013E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 xml:space="preserve">к акту о результатах контроля </w:t>
      </w:r>
      <w:proofErr w:type="gramStart"/>
      <w:r w:rsidRPr="001246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3E" w:rsidRPr="00124689" w:rsidRDefault="00ED013E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>исполнение Концессионером мероприятий,</w:t>
      </w:r>
    </w:p>
    <w:p w:rsidR="00ED013E" w:rsidRPr="00124689" w:rsidRDefault="00ED013E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468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Концессионным соглашением</w:t>
      </w:r>
    </w:p>
    <w:p w:rsidR="00ED013E" w:rsidRPr="00124689" w:rsidRDefault="00282361" w:rsidP="00ED013E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20.11.2018 № 123</w:t>
      </w:r>
      <w:r w:rsidR="00ED013E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 </w:t>
      </w:r>
    </w:p>
    <w:p w:rsidR="00ED013E" w:rsidRPr="00124689" w:rsidRDefault="00ED013E" w:rsidP="00ED013E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(теплоснабжение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 Яготино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D013E" w:rsidRPr="00124689" w:rsidRDefault="00ED013E" w:rsidP="00ED01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5F790C">
      <w:pPr>
        <w:shd w:val="clear" w:color="auto" w:fill="FFFFFF"/>
        <w:tabs>
          <w:tab w:val="left" w:pos="0"/>
          <w:tab w:val="left" w:pos="142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Мониторинг  показателей надежности, качества, энергетической эффективности объектов теплоснабжения </w:t>
      </w:r>
      <w:r w:rsidR="00282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с.Яготино </w:t>
      </w: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2019 год</w:t>
      </w:r>
    </w:p>
    <w:tbl>
      <w:tblPr>
        <w:tblW w:w="8972" w:type="dxa"/>
        <w:jc w:val="center"/>
        <w:tblInd w:w="-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4859"/>
        <w:gridCol w:w="862"/>
        <w:gridCol w:w="1276"/>
        <w:gridCol w:w="1083"/>
      </w:tblGrid>
      <w:tr w:rsidR="005F790C" w:rsidRPr="00124689" w:rsidTr="005F790C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C" w:rsidRPr="00124689" w:rsidRDefault="005F790C" w:rsidP="005F790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план 2019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C" w:rsidRPr="00124689" w:rsidRDefault="005F790C" w:rsidP="005F790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факт 2019 год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9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  <w:proofErr w:type="gramStart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епловых сетей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ед./</w:t>
            </w: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pacing w:line="2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pacing w:line="2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790C" w:rsidRPr="00124689" w:rsidTr="005F790C">
        <w:trPr>
          <w:trHeight w:val="1529"/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9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ед./ Гкал/час </w:t>
            </w:r>
          </w:p>
        </w:tc>
        <w:tc>
          <w:tcPr>
            <w:tcW w:w="1276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у.т</w:t>
            </w:r>
            <w:proofErr w:type="spellEnd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276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spacing w:line="2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083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spacing w:line="2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294,2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технологических потерь при передаче тепловой энергии 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Гкал/год</w:t>
            </w:r>
          </w:p>
        </w:tc>
        <w:tc>
          <w:tcPr>
            <w:tcW w:w="1276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083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151,5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технологических потерь при передаче теплоносителя 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276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083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Отношение величины технологических потерь при передаче тепловой энергии к материальной характеристике тепловой сети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Гкал/м</w:t>
            </w: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1,241</w:t>
            </w:r>
          </w:p>
        </w:tc>
        <w:tc>
          <w:tcPr>
            <w:tcW w:w="1083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1,241</w:t>
            </w:r>
          </w:p>
        </w:tc>
      </w:tr>
      <w:tr w:rsidR="005F790C" w:rsidRPr="00124689" w:rsidTr="005F790C">
        <w:trPr>
          <w:jc w:val="center"/>
        </w:trPr>
        <w:tc>
          <w:tcPr>
            <w:tcW w:w="892" w:type="dxa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59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Отношение величины технологических потерь при передаче теплоносителя к материальной характеристике тепловой сети</w:t>
            </w:r>
          </w:p>
        </w:tc>
        <w:tc>
          <w:tcPr>
            <w:tcW w:w="862" w:type="dxa"/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/м</w:t>
            </w: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0,953</w:t>
            </w:r>
          </w:p>
        </w:tc>
        <w:tc>
          <w:tcPr>
            <w:tcW w:w="1083" w:type="dxa"/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0,953</w:t>
            </w:r>
          </w:p>
        </w:tc>
      </w:tr>
    </w:tbl>
    <w:p w:rsidR="005F790C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689" w:rsidRDefault="00124689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 xml:space="preserve">к акту о результатах контроля </w:t>
      </w:r>
      <w:proofErr w:type="gramStart"/>
      <w:r w:rsidRPr="001246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>исполнение Концессионером мероприятий,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468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Концессионным соглашением</w:t>
      </w: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20.11.2018 № 12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 </w:t>
      </w: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(теплоснабжение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 Яготино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90C" w:rsidRPr="00124689" w:rsidRDefault="005F790C" w:rsidP="005F790C">
      <w:pPr>
        <w:shd w:val="clear" w:color="auto" w:fill="FFFFFF"/>
        <w:tabs>
          <w:tab w:val="left" w:pos="0"/>
          <w:tab w:val="left" w:pos="142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Мониторинг </w:t>
      </w:r>
      <w:proofErr w:type="gramStart"/>
      <w:r w:rsidR="00011148"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значений </w:t>
      </w: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долгосрочных параметров регулирования деятельности теплоснабжения</w:t>
      </w:r>
      <w:proofErr w:type="gramEnd"/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с.Яготино </w:t>
      </w:r>
      <w:r w:rsidRPr="0012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Концессионера за 2019 год </w:t>
      </w:r>
    </w:p>
    <w:tbl>
      <w:tblPr>
        <w:tblW w:w="0" w:type="auto"/>
        <w:jc w:val="center"/>
        <w:tblInd w:w="-5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1569"/>
        <w:gridCol w:w="1572"/>
      </w:tblGrid>
      <w:tr w:rsidR="005F790C" w:rsidRPr="00124689" w:rsidTr="004A698A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план 2019 год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факт 2020 год</w:t>
            </w:r>
          </w:p>
        </w:tc>
      </w:tr>
      <w:tr w:rsidR="005F790C" w:rsidRPr="00124689" w:rsidTr="004A698A">
        <w:trPr>
          <w:trHeight w:val="891"/>
          <w:jc w:val="center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90C" w:rsidRPr="00124689" w:rsidRDefault="00282361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877,76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90C" w:rsidRPr="00124689" w:rsidRDefault="000B5250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</w:tr>
      <w:tr w:rsidR="005F790C" w:rsidRPr="00124689" w:rsidTr="004A698A">
        <w:trPr>
          <w:trHeight w:val="270"/>
          <w:jc w:val="center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90C" w:rsidRPr="00124689" w:rsidRDefault="002546C1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90C" w:rsidRPr="00124689" w:rsidTr="004A698A">
        <w:trPr>
          <w:jc w:val="center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spacing w:before="100" w:beforeAutospacing="1" w:after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прибыли, %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90C" w:rsidRPr="00124689" w:rsidRDefault="005F790C" w:rsidP="00374F6C">
            <w:pPr>
              <w:tabs>
                <w:tab w:val="left" w:pos="0"/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90C" w:rsidRPr="00124689" w:rsidRDefault="00C71B7E" w:rsidP="00374F6C">
            <w:pPr>
              <w:tabs>
                <w:tab w:val="left" w:pos="0"/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790C" w:rsidRPr="00124689" w:rsidRDefault="005F790C" w:rsidP="005F790C">
      <w:pPr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551" w:rsidRPr="00124689" w:rsidRDefault="00CE6551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F68" w:rsidRPr="00124689" w:rsidRDefault="000B5F68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F68" w:rsidRPr="00124689" w:rsidRDefault="000B5F68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5F790C" w:rsidP="00D0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90C" w:rsidRPr="00124689" w:rsidRDefault="00AB4700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F790C" w:rsidRPr="00124689">
        <w:rPr>
          <w:rFonts w:ascii="Times New Roman" w:hAnsi="Times New Roman" w:cs="Times New Roman"/>
          <w:sz w:val="24"/>
          <w:szCs w:val="24"/>
        </w:rPr>
        <w:t>риложение  3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 xml:space="preserve">к акту о результатах контроля </w:t>
      </w:r>
      <w:proofErr w:type="gramStart"/>
      <w:r w:rsidRPr="001246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4689">
        <w:rPr>
          <w:rFonts w:ascii="Times New Roman" w:hAnsi="Times New Roman" w:cs="Times New Roman"/>
          <w:sz w:val="24"/>
          <w:szCs w:val="24"/>
        </w:rPr>
        <w:t>исполнение Концессионером мероприятий,</w:t>
      </w:r>
    </w:p>
    <w:p w:rsidR="005F790C" w:rsidRPr="00124689" w:rsidRDefault="005F790C" w:rsidP="005F79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468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24689">
        <w:rPr>
          <w:rFonts w:ascii="Times New Roman" w:hAnsi="Times New Roman" w:cs="Times New Roman"/>
          <w:sz w:val="24"/>
          <w:szCs w:val="24"/>
        </w:rPr>
        <w:t xml:space="preserve"> Концессионным соглашением</w:t>
      </w:r>
    </w:p>
    <w:p w:rsidR="005F790C" w:rsidRPr="00124689" w:rsidRDefault="00282361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20.11.2018 № 123</w:t>
      </w:r>
      <w:r w:rsidR="005F790C"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 </w:t>
      </w:r>
    </w:p>
    <w:p w:rsidR="005F790C" w:rsidRPr="00124689" w:rsidRDefault="005F790C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(теплоснабжение </w:t>
      </w:r>
      <w:r w:rsidR="0028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 Яготино</w:t>
      </w:r>
      <w:r w:rsidRPr="001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D2A48" w:rsidRPr="00124689" w:rsidRDefault="007D2A48" w:rsidP="005F790C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90C" w:rsidRPr="00124689" w:rsidRDefault="008E2664" w:rsidP="007D2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89">
        <w:rPr>
          <w:rFonts w:ascii="Times New Roman" w:hAnsi="Times New Roman" w:cs="Times New Roman"/>
          <w:b/>
          <w:sz w:val="24"/>
          <w:szCs w:val="24"/>
        </w:rPr>
        <w:t>Мониторинг финансирования мероприятий</w:t>
      </w:r>
      <w:r w:rsidR="004A698A" w:rsidRPr="0012468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12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A48" w:rsidRPr="00124689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объектов </w:t>
      </w:r>
      <w:r w:rsidRPr="00124689">
        <w:rPr>
          <w:rFonts w:ascii="Times New Roman" w:hAnsi="Times New Roman" w:cs="Times New Roman"/>
          <w:b/>
          <w:sz w:val="24"/>
          <w:szCs w:val="24"/>
        </w:rPr>
        <w:t xml:space="preserve">теплоснабжения </w:t>
      </w:r>
      <w:r w:rsidR="00282361">
        <w:rPr>
          <w:rFonts w:ascii="Times New Roman" w:hAnsi="Times New Roman" w:cs="Times New Roman"/>
          <w:b/>
          <w:sz w:val="24"/>
          <w:szCs w:val="24"/>
        </w:rPr>
        <w:t xml:space="preserve">с.Яготино </w:t>
      </w:r>
      <w:r w:rsidRPr="00124689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7D2A48" w:rsidRPr="00124689" w:rsidRDefault="007D2A48" w:rsidP="007D2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379"/>
        <w:gridCol w:w="1418"/>
        <w:gridCol w:w="1559"/>
      </w:tblGrid>
      <w:tr w:rsidR="007D2A48" w:rsidRPr="00124689" w:rsidTr="007D2A48">
        <w:trPr>
          <w:trHeight w:val="18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Pr="00124689" w:rsidRDefault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Pr="00124689" w:rsidRDefault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размер расходов, тыс. руб. (без НДС)</w:t>
            </w:r>
          </w:p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Фактический  размер расходов, тыс. руб. (без НДС)</w:t>
            </w:r>
          </w:p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7D2A48" w:rsidRPr="00124689" w:rsidTr="007D2A48">
        <w:trPr>
          <w:trHeight w:val="8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Pr="00124689" w:rsidRDefault="007D2A48" w:rsidP="0028236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выполненных (не выполненных) работах  в соответствии с </w:t>
            </w:r>
            <w:r w:rsidR="00890C54"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планом </w:t>
            </w: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по реконструкции (модернизации) объекта </w:t>
            </w:r>
            <w:r w:rsidR="00CE6551">
              <w:rPr>
                <w:rFonts w:ascii="Times New Roman" w:hAnsi="Times New Roman" w:cs="Times New Roman"/>
                <w:sz w:val="24"/>
                <w:szCs w:val="24"/>
              </w:rPr>
              <w:t>Концессионного с</w:t>
            </w:r>
            <w:r w:rsidRPr="00124689">
              <w:rPr>
                <w:rFonts w:ascii="Times New Roman" w:hAnsi="Times New Roman" w:cs="Times New Roman"/>
                <w:sz w:val="24"/>
                <w:szCs w:val="24"/>
              </w:rPr>
              <w:t>оглашения</w:t>
            </w:r>
            <w:r w:rsidR="000B5F68" w:rsidRPr="001246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82361" w:rsidRPr="002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теплотрассы Ду-89мм с. Яготино, первый участок от котельной 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8" w:rsidRPr="00124689" w:rsidRDefault="007D2A48" w:rsidP="007D2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2A48" w:rsidRPr="00124689" w:rsidTr="00890C54">
        <w:trPr>
          <w:trHeight w:val="7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 w:rsidP="00890C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CE6551" w:rsidP="00CE65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 размер </w:t>
            </w:r>
            <w:r w:rsidR="000B5F6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</w:t>
            </w:r>
            <w:r w:rsidR="0001114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Концессионера на </w:t>
            </w:r>
            <w:r w:rsidR="000B5F6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реконструкцию (модернизацию) объекта концессионного соглашения, тыс.</w:t>
            </w:r>
            <w:r w:rsidR="0001114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5F68"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(без НДС)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282361" w:rsidP="00890C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A48" w:rsidRPr="00124689" w:rsidTr="007D2A48">
        <w:trPr>
          <w:trHeight w:val="299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48" w:rsidRPr="00124689" w:rsidRDefault="007D2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2A48" w:rsidRPr="00011148" w:rsidRDefault="007D2A48" w:rsidP="007D2A4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7D2A48" w:rsidRPr="00011148" w:rsidSect="00173994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6594"/>
    <w:multiLevelType w:val="hybridMultilevel"/>
    <w:tmpl w:val="2C02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7889"/>
    <w:multiLevelType w:val="hybridMultilevel"/>
    <w:tmpl w:val="E74C0B5C"/>
    <w:lvl w:ilvl="0" w:tplc="CF849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310D"/>
    <w:multiLevelType w:val="hybridMultilevel"/>
    <w:tmpl w:val="1FB8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B"/>
    <w:rsid w:val="00011148"/>
    <w:rsid w:val="0007787C"/>
    <w:rsid w:val="000B5250"/>
    <w:rsid w:val="000B5F68"/>
    <w:rsid w:val="00124689"/>
    <w:rsid w:val="00153E2B"/>
    <w:rsid w:val="00173994"/>
    <w:rsid w:val="00213BF5"/>
    <w:rsid w:val="00245667"/>
    <w:rsid w:val="002546C1"/>
    <w:rsid w:val="00282361"/>
    <w:rsid w:val="00316F38"/>
    <w:rsid w:val="00380798"/>
    <w:rsid w:val="0039627A"/>
    <w:rsid w:val="004A698A"/>
    <w:rsid w:val="005C68A4"/>
    <w:rsid w:val="005D1D52"/>
    <w:rsid w:val="005F790C"/>
    <w:rsid w:val="00741BEC"/>
    <w:rsid w:val="007A5705"/>
    <w:rsid w:val="007D2A48"/>
    <w:rsid w:val="007D4451"/>
    <w:rsid w:val="00804038"/>
    <w:rsid w:val="00824693"/>
    <w:rsid w:val="00890C54"/>
    <w:rsid w:val="008A430B"/>
    <w:rsid w:val="008E2664"/>
    <w:rsid w:val="00997BB5"/>
    <w:rsid w:val="00A053FA"/>
    <w:rsid w:val="00A720A9"/>
    <w:rsid w:val="00A76556"/>
    <w:rsid w:val="00AB2CAF"/>
    <w:rsid w:val="00AB4700"/>
    <w:rsid w:val="00B021D0"/>
    <w:rsid w:val="00C71B7E"/>
    <w:rsid w:val="00C971C7"/>
    <w:rsid w:val="00CE6551"/>
    <w:rsid w:val="00D051C7"/>
    <w:rsid w:val="00ED013E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51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51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DEB3-7CE9-44AA-A06A-BE0A32C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30</cp:revision>
  <cp:lastPrinted>2020-06-18T07:44:00Z</cp:lastPrinted>
  <dcterms:created xsi:type="dcterms:W3CDTF">2020-06-16T01:42:00Z</dcterms:created>
  <dcterms:modified xsi:type="dcterms:W3CDTF">2020-06-18T07:45:00Z</dcterms:modified>
</cp:coreProperties>
</file>